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sz w:val="32"/>
          <w:szCs w:val="32"/>
        </w:rPr>
      </w:pPr>
      <w:r>
        <w:rPr>
          <w:rFonts w:hint="eastAsia" w:ascii="宋体" w:hAnsi="宋体" w:eastAsia="宋体" w:cs="宋体"/>
          <w:b/>
          <w:bCs/>
          <w:kern w:val="0"/>
          <w:sz w:val="32"/>
          <w:szCs w:val="32"/>
          <w:lang w:val="en-US" w:eastAsia="zh-CN" w:bidi="ar"/>
        </w:rPr>
        <w:t>厦门国际银行企业级交易类渠道统一用户体验设计规范专项项目供应商征集公告</w:t>
      </w:r>
    </w:p>
    <w:p>
      <w:pPr>
        <w:keepNext w:val="0"/>
        <w:keepLines w:val="0"/>
        <w:widowControl/>
        <w:suppressLineNumbers w:val="0"/>
        <w:spacing w:before="0" w:beforeAutospacing="0" w:after="0" w:afterAutospacing="0" w:line="440" w:lineRule="exact"/>
        <w:ind w:left="0" w:right="0"/>
        <w:jc w:val="center"/>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 </w:t>
      </w:r>
    </w:p>
    <w:p>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征集人厦门国际银行股份有限公司根据企业级交易渠道类用户体验设计规范建设等工作需要，拟开展企业级交易类渠道统一用户体验设计规范专项项目供应商征集，有关事宜公告如下：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2" w:firstLineChars="200"/>
        <w:jc w:val="both"/>
        <w:textAlignment w:val="auto"/>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一、采购需求及资格要求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rightChars="0" w:firstLine="480" w:firstLineChars="200"/>
        <w:jc w:val="left"/>
        <w:textAlignment w:val="auto"/>
        <w:rPr>
          <w:rFonts w:hint="default" w:ascii="Times New Roman" w:hAnsi="Times New Roman" w:eastAsia="宋体" w:cs="宋体"/>
          <w:b w:val="0"/>
          <w:bCs w:val="0"/>
          <w:kern w:val="2"/>
          <w:sz w:val="24"/>
          <w:szCs w:val="24"/>
          <w:lang w:val="en-US" w:eastAsia="zh-CN" w:bidi="ar"/>
        </w:rPr>
      </w:pPr>
      <w:r>
        <w:rPr>
          <w:rFonts w:hint="eastAsia" w:ascii="Times New Roman" w:hAnsi="Times New Roman" w:eastAsia="宋体" w:cs="宋体"/>
          <w:b w:val="0"/>
          <w:bCs w:val="0"/>
          <w:kern w:val="2"/>
          <w:sz w:val="24"/>
          <w:szCs w:val="24"/>
          <w:lang w:val="en-US" w:eastAsia="zh-CN" w:bidi="ar"/>
        </w:rPr>
        <w:t>1. 采购需求：</w:t>
      </w:r>
    </w:p>
    <w:p>
      <w:pPr>
        <w:pStyle w:val="4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eastAsia" w:ascii="Times New Roman" w:hAnsi="Times New Roman" w:eastAsia="宋体" w:cs="宋体"/>
          <w:kern w:val="2"/>
          <w:sz w:val="24"/>
          <w:szCs w:val="24"/>
          <w:lang w:val="en-US" w:eastAsia="zh-CN" w:bidi="ar"/>
        </w:rPr>
      </w:pPr>
      <w:r>
        <w:rPr>
          <w:rFonts w:hint="eastAsia" w:ascii="Times New Roman" w:hAnsi="Times New Roman" w:eastAsia="宋体" w:cs="宋体"/>
          <w:kern w:val="2"/>
          <w:sz w:val="24"/>
          <w:szCs w:val="24"/>
          <w:lang w:val="en-US" w:eastAsia="zh-CN" w:bidi="ar"/>
        </w:rPr>
        <w:t>为统一对客交易渠道类用户体验，本行将构建企业级对客交易渠道类统一的用户体验设计规范，提炼集团共性设计规范，并基于此规范，对新一代综合柜面系统项目群、XIB企业网银部分关键交易类型输出UIUE设计稿。主要内容如下：</w:t>
      </w:r>
    </w:p>
    <w:p>
      <w:pPr>
        <w:pStyle w:val="45"/>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kern w:val="2"/>
          <w:sz w:val="24"/>
          <w:szCs w:val="24"/>
          <w:lang w:val="en-US" w:eastAsia="zh-CN" w:bidi="ar"/>
        </w:rPr>
      </w:pPr>
      <w:r>
        <w:rPr>
          <w:rFonts w:hint="eastAsia" w:ascii="Times New Roman" w:hAnsi="Times New Roman" w:eastAsia="宋体" w:cs="宋体"/>
          <w:kern w:val="2"/>
          <w:sz w:val="24"/>
          <w:szCs w:val="24"/>
          <w:lang w:val="en-US" w:eastAsia="zh-CN" w:bidi="ar"/>
        </w:rPr>
        <w:t>（1）企业级统一用户体验设计规范</w:t>
      </w:r>
    </w:p>
    <w:p>
      <w:pPr>
        <w:pStyle w:val="6"/>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lang w:val="en-US"/>
        </w:rPr>
      </w:pPr>
      <w:r>
        <w:rPr>
          <w:rFonts w:hint="eastAsia" w:ascii="Times New Roman" w:hAnsi="Times New Roman" w:eastAsia="宋体" w:cs="宋体"/>
          <w:kern w:val="2"/>
          <w:sz w:val="24"/>
          <w:szCs w:val="24"/>
          <w:lang w:val="en-US" w:eastAsia="zh-CN" w:bidi="ar"/>
        </w:rPr>
        <w:t>本行将</w:t>
      </w:r>
      <w:r>
        <w:rPr>
          <w:rFonts w:hint="eastAsia" w:ascii="Times New Roman" w:hAnsi="Times New Roman" w:eastAsia="宋体"/>
          <w:sz w:val="24"/>
          <w:lang w:val="en-US" w:eastAsia="zh-CN"/>
        </w:rPr>
        <w:t>构建覆盖</w:t>
      </w:r>
      <w:r>
        <w:rPr>
          <w:rFonts w:hint="eastAsia" w:ascii="Times New Roman" w:hAnsi="Times New Roman" w:eastAsia="宋体"/>
          <w:sz w:val="24"/>
        </w:rPr>
        <w:t>厦门国际银行（XIB）、澳门国际银行（LIB）及其境内附属机构</w:t>
      </w:r>
      <w:r>
        <w:rPr>
          <w:rFonts w:hint="eastAsia" w:ascii="Times New Roman" w:hAnsi="Times New Roman" w:eastAsia="宋体"/>
          <w:sz w:val="24"/>
          <w:lang w:eastAsia="zh-CN"/>
        </w:rPr>
        <w:t>（</w:t>
      </w:r>
      <w:r>
        <w:rPr>
          <w:rFonts w:hint="eastAsia" w:ascii="Times New Roman" w:hAnsi="Times New Roman" w:eastAsia="宋体"/>
          <w:sz w:val="24"/>
          <w:lang w:val="en-US" w:eastAsia="zh-CN"/>
        </w:rPr>
        <w:t>LCN</w:t>
      </w:r>
      <w:r>
        <w:rPr>
          <w:rFonts w:hint="eastAsia" w:ascii="Times New Roman" w:hAnsi="Times New Roman" w:eastAsia="宋体"/>
          <w:sz w:val="24"/>
          <w:lang w:eastAsia="zh-CN"/>
        </w:rPr>
        <w:t>）</w:t>
      </w:r>
      <w:r>
        <w:rPr>
          <w:rFonts w:hint="eastAsia" w:ascii="Times New Roman" w:hAnsi="Times New Roman" w:eastAsia="宋体"/>
          <w:sz w:val="24"/>
        </w:rPr>
        <w:t>、集友银行（CYB）及其境内附属机构（CY</w:t>
      </w:r>
      <w:r>
        <w:rPr>
          <w:rFonts w:hint="eastAsia" w:ascii="Times New Roman" w:hAnsi="Times New Roman" w:eastAsia="宋体"/>
          <w:sz w:val="24"/>
          <w:lang w:val="en-US" w:eastAsia="zh-CN"/>
        </w:rPr>
        <w:t>C</w:t>
      </w:r>
      <w:r>
        <w:rPr>
          <w:rFonts w:hint="eastAsia" w:ascii="Times New Roman" w:hAnsi="Times New Roman" w:eastAsia="宋体"/>
          <w:sz w:val="24"/>
        </w:rPr>
        <w:t>）</w:t>
      </w:r>
      <w:r>
        <w:rPr>
          <w:rFonts w:hint="eastAsia" w:ascii="Times New Roman" w:hAnsi="Times New Roman" w:eastAsia="宋体"/>
          <w:sz w:val="24"/>
          <w:lang w:val="en-US" w:eastAsia="zh-CN"/>
        </w:rPr>
        <w:t>的集团统一与共性的交易类渠道用户体验设计规范，相关规范需符合集团企业文化与品牌形象，聚焦网点柜面、网点其他线下渠道、线上渠道等两客交易类重点渠道，</w:t>
      </w:r>
      <w:r>
        <w:rPr>
          <w:rFonts w:hint="eastAsia" w:ascii="Times New Roman" w:hAnsi="Times New Roman" w:eastAsia="宋体" w:cs="宋体"/>
          <w:sz w:val="24"/>
          <w:szCs w:val="24"/>
          <w:lang w:val="en-US" w:eastAsia="zh-CN"/>
        </w:rPr>
        <w:t>支持各实体机构个性化差异及扩展性，提炼出体现集团用户体验一致要素清单及对应使用场景，明确各实体间用户体验差异的要素清单及使用场景，支持中文、英文、繁体版本，符合全渠道协同与差异化要求。</w:t>
      </w:r>
    </w:p>
    <w:p>
      <w:pPr>
        <w:pStyle w:val="45"/>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（2）综合柜面用户体验设计规范试点UIUE设计需求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根据</w:t>
      </w:r>
      <w:r>
        <w:rPr>
          <w:rFonts w:hint="eastAsia" w:ascii="Times New Roman" w:hAnsi="Times New Roman" w:eastAsia="宋体" w:cs="宋体"/>
          <w:kern w:val="2"/>
          <w:sz w:val="24"/>
          <w:szCs w:val="24"/>
          <w:lang w:val="en-US" w:eastAsia="zh-CN" w:bidi="ar"/>
        </w:rPr>
        <w:t>企业级统一用户体验设计规范，</w:t>
      </w:r>
      <w:r>
        <w:rPr>
          <w:rFonts w:hint="eastAsia" w:ascii="Times New Roman" w:hAnsi="Times New Roman" w:eastAsia="宋体" w:cs="宋体"/>
          <w:sz w:val="24"/>
          <w:szCs w:val="24"/>
          <w:lang w:val="en-US" w:eastAsia="zh-CN"/>
        </w:rPr>
        <w:t>对我行新一代综合柜面项目内涉及核心交互相关的柜台柜面、移动外出服务、厅堂客户自助3个子系统，实施范围涉及XIB/LIB/LCN/CYC四个实体一并实施，要求提供关键主要页面、典型交易界面的UIUE设计稿件，并且在项目实施期间及本项目交付验收后一年内提供新一代综合柜面项目其它UIUE设计相关规范审查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eastAsia" w:ascii="Times New Roman" w:hAnsi="Times New Roman" w:eastAsia="宋体" w:cs="宋体"/>
          <w:sz w:val="24"/>
          <w:lang w:val="en-US" w:eastAsia="zh-CN" w:bidi="ar"/>
        </w:rPr>
      </w:pPr>
      <w:r>
        <w:rPr>
          <w:rFonts w:hint="eastAsia" w:ascii="Times New Roman" w:hAnsi="Times New Roman" w:eastAsia="宋体" w:cs="宋体"/>
          <w:sz w:val="24"/>
          <w:szCs w:val="24"/>
          <w:lang w:val="en-US" w:eastAsia="zh-CN"/>
        </w:rPr>
        <w:t>（3）企业</w:t>
      </w:r>
      <w:r>
        <w:rPr>
          <w:rFonts w:hint="eastAsia" w:ascii="Times New Roman" w:hAnsi="Times New Roman" w:eastAsia="宋体" w:cs="宋体"/>
          <w:sz w:val="24"/>
          <w:szCs w:val="24"/>
          <w:lang w:val="en-US" w:eastAsia="zh-CN" w:bidi="ar"/>
        </w:rPr>
        <w:t>网银用户体验设计规范试点需求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lang w:val="en-US" w:eastAsia="zh-CN" w:bidi="ar"/>
        </w:rPr>
        <w:t>根据企业级统一用户体验设计规范，</w:t>
      </w:r>
      <w:r>
        <w:rPr>
          <w:rFonts w:hint="eastAsia" w:ascii="Times New Roman" w:hAnsi="Times New Roman" w:eastAsia="宋体" w:cs="宋体"/>
          <w:sz w:val="24"/>
          <w:szCs w:val="24"/>
          <w:lang w:val="en-US" w:eastAsia="zh-CN" w:bidi="ar"/>
        </w:rPr>
        <w:t>基于企业客户业务场景与用户体验分析，为部分XIB企业网银关键交易提供</w:t>
      </w:r>
      <w:r>
        <w:rPr>
          <w:rFonts w:hint="eastAsia" w:ascii="Times New Roman" w:hAnsi="Times New Roman" w:eastAsia="宋体" w:cs="宋体"/>
          <w:sz w:val="24"/>
          <w:szCs w:val="24"/>
          <w:lang w:val="en-US" w:eastAsia="zh-CN"/>
        </w:rPr>
        <w:t>UIUE设计稿件，</w:t>
      </w:r>
      <w:r>
        <w:rPr>
          <w:rFonts w:hint="eastAsia" w:ascii="Times New Roman" w:hAnsi="Times New Roman" w:eastAsia="宋体" w:cs="宋体"/>
          <w:sz w:val="24"/>
          <w:szCs w:val="24"/>
          <w:lang w:val="en-US" w:eastAsia="zh-CN" w:bidi="ar"/>
        </w:rPr>
        <w:t>主要包含公共、账户管理、企业管理、转账支付、客服服务帮助与发票管理以及跨境e站通等模块，</w:t>
      </w:r>
      <w:r>
        <w:rPr>
          <w:rFonts w:hint="eastAsia" w:ascii="Times New Roman" w:hAnsi="Times New Roman" w:eastAsia="宋体" w:cs="宋体"/>
          <w:sz w:val="24"/>
          <w:szCs w:val="24"/>
          <w:lang w:val="en-US" w:eastAsia="zh-CN"/>
        </w:rPr>
        <w:t>并且在项目实施期间及本项目交付验收后一年内提供企业网银UIUE设计相关规范审查服务</w:t>
      </w:r>
      <w:r>
        <w:rPr>
          <w:rFonts w:hint="eastAsia" w:ascii="Times New Roman" w:hAnsi="Times New Roman" w:eastAsia="宋体" w:cs="宋体"/>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eastAsia" w:ascii="Times New Roman" w:hAnsi="Times New Roman" w:eastAsia="宋体" w:cs="宋体"/>
          <w:kern w:val="2"/>
          <w:sz w:val="24"/>
          <w:szCs w:val="24"/>
          <w:lang w:val="en-US" w:eastAsia="zh-CN" w:bidi="ar"/>
        </w:rPr>
      </w:pPr>
      <w:r>
        <w:rPr>
          <w:rFonts w:hint="eastAsia" w:ascii="Times New Roman" w:hAnsi="Times New Roman" w:eastAsia="宋体" w:cs="宋体"/>
          <w:kern w:val="2"/>
          <w:sz w:val="24"/>
          <w:szCs w:val="24"/>
          <w:lang w:val="en-US" w:eastAsia="zh-CN" w:bidi="ar"/>
        </w:rPr>
        <w:t>实施方案合作以总包形式开展，按照方案目标完成规范制定和系统设计稿输出，并要求在</w:t>
      </w:r>
      <w:r>
        <w:rPr>
          <w:rFonts w:hint="eastAsia" w:ascii="Times New Roman" w:hAnsi="Times New Roman" w:eastAsia="宋体"/>
          <w:sz w:val="24"/>
          <w:lang w:val="en-US" w:eastAsia="zh-CN"/>
        </w:rPr>
        <w:t>对</w:t>
      </w:r>
      <w:r>
        <w:rPr>
          <w:rFonts w:hint="eastAsia" w:ascii="Times New Roman" w:hAnsi="Times New Roman" w:eastAsia="宋体" w:cs="宋体"/>
          <w:sz w:val="24"/>
          <w:szCs w:val="24"/>
          <w:lang w:val="en-US" w:eastAsia="zh-CN"/>
        </w:rPr>
        <w:t>本项目交付验收后</w:t>
      </w:r>
      <w:r>
        <w:rPr>
          <w:rFonts w:hint="eastAsia" w:ascii="Times New Roman" w:hAnsi="Times New Roman" w:eastAsia="宋体"/>
          <w:sz w:val="24"/>
          <w:lang w:val="en-US" w:eastAsia="zh-CN"/>
        </w:rPr>
        <w:t>一年内我行新建和改造的本方案中交易类渠道系统范围的设计是否符合规范的服务进行审查，本项目</w:t>
      </w:r>
      <w:r>
        <w:rPr>
          <w:rFonts w:hint="eastAsia" w:ascii="Times New Roman" w:hAnsi="Times New Roman" w:eastAsia="宋体" w:cs="宋体"/>
          <w:kern w:val="2"/>
          <w:sz w:val="24"/>
          <w:szCs w:val="24"/>
          <w:lang w:val="en-US" w:eastAsia="zh-CN" w:bidi="ar"/>
        </w:rPr>
        <w:t>根据实施方案各阶段完成情况据实结算。</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eastAsia" w:ascii="Times New Roman" w:hAnsi="Times New Roman" w:eastAsia="宋体" w:cs="宋体"/>
          <w:kern w:val="2"/>
          <w:sz w:val="24"/>
          <w:szCs w:val="24"/>
          <w:lang w:val="en-US" w:eastAsia="zh-CN" w:bidi="ar"/>
        </w:rPr>
      </w:pPr>
      <w:r>
        <w:rPr>
          <w:rFonts w:hint="eastAsia" w:ascii="Times New Roman" w:hAnsi="Times New Roman" w:eastAsia="宋体" w:cs="宋体"/>
          <w:kern w:val="2"/>
          <w:sz w:val="24"/>
          <w:szCs w:val="24"/>
          <w:lang w:val="en-US" w:eastAsia="zh-CN" w:bidi="ar"/>
        </w:rPr>
        <w:t>项目工作地点为福建省厦门市。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both"/>
        <w:textAlignment w:val="auto"/>
        <w:rPr>
          <w:rFonts w:hint="eastAsia" w:ascii="Times New Roman" w:hAnsi="Times New Roman" w:eastAsia="宋体" w:cs="宋体"/>
          <w:b w:val="0"/>
          <w:bCs w:val="0"/>
          <w:sz w:val="24"/>
        </w:rPr>
      </w:pPr>
      <w:r>
        <w:rPr>
          <w:rFonts w:hint="eastAsia" w:ascii="Times New Roman" w:hAnsi="Times New Roman" w:eastAsia="宋体" w:cs="宋体"/>
          <w:b w:val="0"/>
          <w:bCs w:val="0"/>
          <w:sz w:val="24"/>
          <w:lang w:val="en-US" w:eastAsia="zh-CN" w:bidi="ar"/>
        </w:rPr>
        <w:t xml:space="preserve">2. </w:t>
      </w:r>
      <w:r>
        <w:rPr>
          <w:rStyle w:val="14"/>
          <w:rFonts w:hint="eastAsia" w:ascii="Times New Roman" w:hAnsi="Times New Roman" w:eastAsia="宋体" w:cs="宋体"/>
          <w:b w:val="0"/>
          <w:bCs w:val="0"/>
          <w:kern w:val="0"/>
          <w:sz w:val="24"/>
          <w:szCs w:val="24"/>
          <w:lang w:val="en-US" w:eastAsia="zh-CN" w:bidi="ar"/>
        </w:rPr>
        <w:t>供应商资质要求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eastAsia" w:ascii="Times New Roman" w:hAnsi="Times New Roman" w:eastAsia="宋体" w:cs="宋体"/>
          <w:kern w:val="0"/>
          <w:sz w:val="24"/>
          <w:szCs w:val="24"/>
          <w:lang w:val="en-US" w:eastAsia="zh-CN" w:bidi="ar"/>
        </w:rPr>
      </w:pPr>
      <w:r>
        <w:rPr>
          <w:rFonts w:hint="eastAsia" w:ascii="Times New Roman" w:hAnsi="Times New Roman" w:eastAsia="宋体" w:cs="宋体"/>
          <w:kern w:val="0"/>
          <w:sz w:val="24"/>
          <w:szCs w:val="24"/>
          <w:lang w:val="en-US" w:eastAsia="zh-CN" w:bidi="ar"/>
        </w:rPr>
        <w:t>2.1 企业成立3年及以上，不存在被监管机构禁止或审慎发展的情形，未处于限制开展生产经营活动、责令停产停业、责令关闭、限制从业等重大行政处罚期内。。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default"/>
          <w:lang w:val="en-US"/>
        </w:rPr>
      </w:pPr>
      <w:r>
        <w:rPr>
          <w:rFonts w:hint="eastAsia" w:ascii="Times New Roman" w:hAnsi="Times New Roman" w:eastAsia="宋体" w:cs="宋体"/>
          <w:kern w:val="0"/>
          <w:sz w:val="24"/>
          <w:szCs w:val="24"/>
          <w:lang w:val="en-US" w:eastAsia="zh-CN" w:bidi="ar"/>
        </w:rPr>
        <w:t>2.2 具有近三年（2022年1月1日至今）国内总资产规模3000亿元人民币（截至2025年9月）以上（含）银行用户体验设计项目案例（案例需为包含电子银行系统或网点柜面相关系统的用户体验设计规范及设计相关项目，提供合同复印件，合同上须能清晰体现服务内容，合同签订时间及合同双方盖章，不符合上述要求的案例，视为无效案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2" w:firstLineChars="200"/>
        <w:jc w:val="both"/>
        <w:textAlignment w:val="auto"/>
        <w:outlineLvl w:val="0"/>
        <w:rPr>
          <w:rFonts w:hint="eastAsia" w:ascii="宋体" w:hAnsi="宋体" w:eastAsia="宋体" w:cs="宋体"/>
          <w:b/>
          <w:bCs/>
          <w:sz w:val="24"/>
          <w:lang w:val="en-US" w:bidi="ar"/>
        </w:rPr>
      </w:pPr>
      <w:r>
        <w:rPr>
          <w:rFonts w:hint="eastAsia" w:ascii="宋体" w:hAnsi="宋体" w:eastAsia="宋体" w:cs="宋体"/>
          <w:b/>
          <w:bCs/>
          <w:kern w:val="2"/>
          <w:sz w:val="24"/>
          <w:szCs w:val="24"/>
          <w:lang w:val="en-US" w:eastAsia="zh-CN" w:bidi="ar"/>
        </w:rPr>
        <w:t>二、报名要求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1. 为中华人民共和国境内合法注册的独立法人，具有独立承担民事责任的能力，拥有合法有效的工商营业执照，且经营范围包含本次采购需求。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2. 充分理解采购需求并能够根据需求提供相应的服务。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3. 遵守国家有关法律、法规，具有良好的商业信誉和健全的财务会计制度。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outlineLvl w:val="1"/>
        <w:rPr>
          <w:rFonts w:hint="default"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4. 截至征集时间，未被“信用中国”网站（http://www.creditchina.gov.cn）列入失信被执行人、重大税收违法失信主体、政府采购严重违法失信行为记录名单（提供“信用中国”网站查询截图），未被“国家企业信用信息公示系统（</w:t>
      </w:r>
      <w:r>
        <w:rPr>
          <w:rFonts w:hint="eastAsia" w:ascii="宋体" w:hAnsi="宋体" w:eastAsia="宋体" w:cs="宋体"/>
          <w:color w:val="auto"/>
          <w:sz w:val="24"/>
          <w:szCs w:val="24"/>
          <w:highlight w:val="none"/>
          <w:u w:val="none"/>
          <w:lang w:val="en-US" w:eastAsia="zh-CN"/>
        </w:rPr>
        <w:t>https://www.gsxt.gov.cn/index.html</w:t>
      </w:r>
      <w:r>
        <w:rPr>
          <w:rFonts w:hint="eastAsia" w:ascii="宋体" w:hAnsi="宋体" w:eastAsia="宋体" w:cs="宋体"/>
          <w:b w:val="0"/>
          <w:bCs w:val="0"/>
          <w:kern w:val="2"/>
          <w:sz w:val="24"/>
          <w:szCs w:val="24"/>
          <w:lang w:val="en-US" w:eastAsia="zh-CN" w:bidi="ar"/>
        </w:rPr>
        <w:t>）”列入严重违法失信企业名单、经营异常名录（提供“国家企业信用信息公示系统”网站查询截图），不在厦门国际银行供应商黑名单中。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5. 经营范围经国家行政管理部门依法批准，同时获得从事行业有效执业证明、行政许可、专业资质等证照。</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eastAsia="宋体" w:cs="宋体"/>
          <w:b w:val="0"/>
          <w:bCs w:val="0"/>
          <w:kern w:val="2"/>
          <w:sz w:val="24"/>
          <w:szCs w:val="24"/>
          <w:lang w:val="en-US" w:eastAsia="zh-CN" w:bidi="ar"/>
        </w:rPr>
        <w:t>6. 同一法定代表人的两个及两个以上法人、母公司、全资子公司及其控股公司不得在同一次项目中参加报名。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2" w:firstLineChars="200"/>
        <w:jc w:val="both"/>
        <w:textAlignment w:val="auto"/>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三、征集时间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80" w:firstLineChars="200"/>
        <w:jc w:val="left"/>
        <w:textAlignment w:val="auto"/>
        <w:rPr>
          <w:rFonts w:hint="eastAsia" w:ascii="宋体" w:hAnsi="宋体" w:eastAsia="宋体" w:cs="宋体"/>
          <w:sz w:val="24"/>
        </w:rPr>
      </w:pPr>
      <w:r>
        <w:rPr>
          <w:rFonts w:hint="eastAsia" w:ascii="宋体" w:hAnsi="宋体" w:eastAsia="宋体" w:cs="宋体"/>
          <w:kern w:val="2"/>
          <w:sz w:val="24"/>
          <w:szCs w:val="24"/>
          <w:lang w:val="en-US" w:eastAsia="zh-CN" w:bidi="ar"/>
        </w:rPr>
        <w:t>本次供应商征集自即日起至2025年12月11日23：59止。</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2" w:firstLineChars="200"/>
        <w:jc w:val="both"/>
        <w:textAlignment w:val="auto"/>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四、报名方式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供应商征集联系人：</w:t>
      </w:r>
      <w:r>
        <w:rPr>
          <w:rFonts w:hint="eastAsia" w:ascii="宋体" w:hAnsi="宋体" w:eastAsia="宋体" w:cs="宋体"/>
          <w:kern w:val="2"/>
          <w:sz w:val="24"/>
          <w:szCs w:val="24"/>
          <w:highlight w:val="none"/>
          <w:lang w:val="en-US" w:eastAsia="zh-CN" w:bidi="ar"/>
        </w:rPr>
        <w:t>许老师，联系电话：</w:t>
      </w:r>
      <w:r>
        <w:rPr>
          <w:rFonts w:ascii="宋体" w:hAnsi="宋体" w:eastAsia="宋体"/>
          <w:sz w:val="24"/>
          <w:szCs w:val="24"/>
          <w:highlight w:val="none"/>
        </w:rPr>
        <w:t>0592</w:t>
      </w:r>
      <w:r>
        <w:rPr>
          <w:rFonts w:hint="eastAsia" w:ascii="宋体" w:hAnsi="宋体" w:eastAsia="宋体"/>
          <w:sz w:val="24"/>
          <w:szCs w:val="24"/>
          <w:highlight w:val="none"/>
        </w:rPr>
        <w:t>-</w:t>
      </w:r>
      <w:r>
        <w:rPr>
          <w:rFonts w:ascii="宋体" w:hAnsi="宋体" w:eastAsia="宋体"/>
          <w:sz w:val="24"/>
          <w:szCs w:val="24"/>
          <w:highlight w:val="none"/>
        </w:rPr>
        <w:t>2078888</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5635</w:t>
      </w:r>
      <w:r>
        <w:rPr>
          <w:rFonts w:hint="eastAsia" w:ascii="宋体" w:hAnsi="宋体" w:eastAsia="宋体" w:cs="宋体"/>
          <w:kern w:val="2"/>
          <w:sz w:val="24"/>
          <w:szCs w:val="24"/>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sz w:val="24"/>
        </w:rPr>
      </w:pPr>
      <w:r>
        <w:rPr>
          <w:rFonts w:hint="eastAsia" w:ascii="宋体" w:hAnsi="宋体" w:eastAsia="宋体" w:cs="宋体"/>
          <w:kern w:val="2"/>
          <w:sz w:val="24"/>
          <w:szCs w:val="24"/>
          <w:lang w:val="en-US" w:eastAsia="zh-CN" w:bidi="ar"/>
        </w:rPr>
        <w:t>若有意向请将供应商资料于征集截止时间前提交至xujinliang</w:t>
      </w:r>
      <w:r>
        <w:rPr>
          <w:rFonts w:hint="eastAsia" w:ascii="宋体" w:hAnsi="宋体" w:eastAsia="宋体"/>
          <w:sz w:val="24"/>
          <w:szCs w:val="24"/>
          <w:highlight w:val="none"/>
          <w:lang w:val="en-US" w:eastAsia="zh-CN"/>
        </w:rPr>
        <w:t>@xib.com.cn</w:t>
      </w:r>
      <w:r>
        <w:rPr>
          <w:rFonts w:hint="eastAsia" w:ascii="宋体" w:hAnsi="宋体" w:eastAsia="宋体" w:cs="宋体"/>
          <w:kern w:val="2"/>
          <w:sz w:val="24"/>
          <w:szCs w:val="24"/>
          <w:lang w:val="en-US" w:eastAsia="zh-CN" w:bidi="ar"/>
        </w:rPr>
        <w:t>邮箱。</w:t>
      </w:r>
      <w:r>
        <w:rPr>
          <w:rFonts w:ascii="宋体" w:hAnsi="宋体" w:eastAsia="宋体"/>
          <w:b/>
          <w:sz w:val="24"/>
          <w:szCs w:val="24"/>
        </w:rPr>
        <w:t>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2" w:firstLineChars="200"/>
        <w:jc w:val="both"/>
        <w:textAlignment w:val="auto"/>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五、报名注意事项</w:t>
      </w:r>
    </w:p>
    <w:p>
      <w:pPr>
        <w:keepNext w:val="0"/>
        <w:keepLines w:val="0"/>
        <w:pageBreakBefore w:val="0"/>
        <w:widowControl/>
        <w:suppressLineNumbers w:val="0"/>
        <w:kinsoku/>
        <w:wordWrap/>
        <w:overflowPunct/>
        <w:autoSpaceDE/>
        <w:autoSpaceDN/>
        <w:bidi w:val="0"/>
        <w:adjustRightInd/>
        <w:snapToGrid/>
        <w:spacing w:before="0" w:beforeAutospacing="0" w:after="0" w:afterAutospacing="0" w:line="440" w:lineRule="exact"/>
        <w:ind w:right="0" w:firstLine="480" w:firstLineChars="200"/>
        <w:jc w:val="left"/>
        <w:textAlignment w:val="auto"/>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1. 提交的供应商资料内容包括如下两项： </w:t>
      </w:r>
    </w:p>
    <w:p>
      <w:pPr>
        <w:keepNext w:val="0"/>
        <w:keepLines w:val="0"/>
        <w:pageBreakBefore w:val="0"/>
        <w:widowControl/>
        <w:suppressLineNumbers w:val="0"/>
        <w:kinsoku/>
        <w:wordWrap/>
        <w:overflowPunct/>
        <w:autoSpaceDE/>
        <w:autoSpaceDN/>
        <w:bidi w:val="0"/>
        <w:adjustRightInd/>
        <w:snapToGrid/>
        <w:spacing w:before="0" w:beforeAutospacing="0" w:after="0" w:afterAutospacing="0" w:line="440" w:lineRule="exact"/>
        <w:ind w:right="0" w:firstLine="480" w:firstLineChars="200"/>
        <w:jc w:val="left"/>
        <w:textAlignment w:val="auto"/>
        <w:rPr>
          <w:rFonts w:hint="eastAsia" w:ascii="宋体" w:hAnsi="宋体" w:eastAsia="宋体" w:cs="宋体"/>
          <w:sz w:val="24"/>
        </w:rPr>
      </w:pPr>
      <w:r>
        <w:rPr>
          <w:rFonts w:hint="eastAsia" w:ascii="宋体" w:hAnsi="宋体" w:eastAsia="宋体" w:cs="宋体"/>
          <w:kern w:val="2"/>
          <w:sz w:val="24"/>
          <w:szCs w:val="24"/>
          <w:lang w:val="en-US" w:eastAsia="zh-CN" w:bidi="ar"/>
        </w:rPr>
        <w:t>材料1：《厦门国际银行企业级交易类渠道统一用户体验设计规范专项项目》供应商征集反馈材料-公司名称（全称）</w:t>
      </w:r>
    </w:p>
    <w:p>
      <w:pPr>
        <w:keepNext w:val="0"/>
        <w:keepLines w:val="0"/>
        <w:pageBreakBefore w:val="0"/>
        <w:widowControl/>
        <w:suppressLineNumbers w:val="0"/>
        <w:kinsoku/>
        <w:wordWrap/>
        <w:overflowPunct/>
        <w:autoSpaceDE/>
        <w:autoSpaceDN/>
        <w:bidi w:val="0"/>
        <w:adjustRightInd/>
        <w:snapToGrid/>
        <w:spacing w:before="0" w:beforeAutospacing="0" w:after="0" w:afterAutospacing="0" w:line="440" w:lineRule="exact"/>
        <w:ind w:right="0" w:firstLine="480" w:firstLineChars="200"/>
        <w:jc w:val="left"/>
        <w:textAlignment w:val="auto"/>
        <w:rPr>
          <w:rFonts w:hint="eastAsia" w:ascii="宋体" w:hAnsi="宋体" w:eastAsia="宋体" w:cs="宋体"/>
          <w:sz w:val="24"/>
        </w:rPr>
      </w:pPr>
      <w:r>
        <w:rPr>
          <w:rFonts w:hint="eastAsia" w:ascii="宋体" w:hAnsi="宋体" w:eastAsia="宋体" w:cs="宋体"/>
          <w:kern w:val="2"/>
          <w:sz w:val="24"/>
          <w:szCs w:val="24"/>
          <w:lang w:val="en-US" w:eastAsia="zh-CN" w:bidi="ar"/>
        </w:rPr>
        <w:t>材料2：</w:t>
      </w:r>
      <w:r>
        <w:rPr>
          <w:rFonts w:hint="eastAsia" w:ascii="宋体" w:hAnsi="宋体" w:eastAsia="宋体" w:cs="宋体"/>
          <w:kern w:val="0"/>
          <w:sz w:val="24"/>
          <w:szCs w:val="24"/>
          <w:lang w:val="en-US" w:eastAsia="zh-CN" w:bidi="ar"/>
        </w:rPr>
        <w:t>承诺函</w:t>
      </w:r>
    </w:p>
    <w:p>
      <w:pPr>
        <w:pStyle w:val="11"/>
        <w:keepNext w:val="0"/>
        <w:keepLines w:val="0"/>
        <w:pageBreakBefore w:val="0"/>
        <w:widowControl/>
        <w:suppressLineNumbers w:val="0"/>
        <w:kinsoku/>
        <w:wordWrap/>
        <w:overflowPunct/>
        <w:topLinePunct/>
        <w:autoSpaceDE/>
        <w:autoSpaceDN/>
        <w:bidi w:val="0"/>
        <w:adjustRightInd/>
        <w:snapToGrid/>
        <w:spacing w:before="0" w:beforeAutospacing="0" w:after="0" w:afterAutospacing="0" w:line="440" w:lineRule="exact"/>
        <w:ind w:right="0" w:firstLine="480" w:firstLineChars="200"/>
        <w:textAlignment w:val="auto"/>
        <w:rPr>
          <w:rFonts w:hint="eastAsia" w:ascii="宋体" w:hAnsi="宋体" w:eastAsia="宋体" w:cs="宋体"/>
        </w:rPr>
      </w:pPr>
      <w:r>
        <w:rPr>
          <w:rFonts w:hint="eastAsia" w:ascii="宋体" w:hAnsi="宋体" w:eastAsia="宋体" w:cs="宋体"/>
          <w:kern w:val="2"/>
          <w:sz w:val="24"/>
          <w:szCs w:val="24"/>
        </w:rPr>
        <w:t>以上</w:t>
      </w:r>
      <w:r>
        <w:rPr>
          <w:rFonts w:hint="eastAsia" w:ascii="宋体" w:hAnsi="宋体" w:eastAsia="宋体" w:cs="宋体"/>
          <w:kern w:val="2"/>
          <w:sz w:val="24"/>
          <w:szCs w:val="24"/>
          <w:lang w:val="en-US" w:eastAsia="zh-CN"/>
        </w:rPr>
        <w:t>两</w:t>
      </w:r>
      <w:r>
        <w:rPr>
          <w:rFonts w:hint="eastAsia" w:ascii="宋体" w:hAnsi="宋体" w:eastAsia="宋体" w:cs="宋体"/>
          <w:kern w:val="2"/>
          <w:sz w:val="24"/>
          <w:szCs w:val="24"/>
        </w:rPr>
        <w:t>项材料填报模板详见附件</w:t>
      </w:r>
      <w:r>
        <w:rPr>
          <w:rFonts w:hint="eastAsia" w:ascii="宋体" w:hAnsi="宋体" w:eastAsia="宋体" w:cs="宋体"/>
          <w:b/>
          <w:bCs/>
          <w:color w:val="FF0000"/>
          <w:sz w:val="24"/>
          <w:szCs w:val="24"/>
          <w:u w:val="none"/>
          <w:lang w:val="en-US" w:eastAsia="zh-CN"/>
        </w:rPr>
        <w:t>模板后填写，勿改动格式，并</w:t>
      </w:r>
      <w:r>
        <w:rPr>
          <w:rFonts w:hint="eastAsia" w:ascii="宋体" w:hAnsi="宋体" w:eastAsia="宋体" w:cs="宋体"/>
          <w:sz w:val="24"/>
          <w:szCs w:val="24"/>
        </w:rPr>
        <w:t>加盖公司（单位）公章</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多页的需加盖骑缝章</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widowControl/>
        <w:numPr>
          <w:ilvl w:val="0"/>
          <w:numId w:val="3"/>
        </w:numPr>
        <w:suppressLineNumbers w:val="0"/>
        <w:kinsoku/>
        <w:wordWrap/>
        <w:overflowPunct/>
        <w:autoSpaceDE/>
        <w:autoSpaceDN/>
        <w:bidi w:val="0"/>
        <w:adjustRightInd/>
        <w:snapToGrid/>
        <w:spacing w:before="0" w:beforeAutospacing="0" w:after="0" w:afterAutospacing="0" w:line="440" w:lineRule="exact"/>
        <w:ind w:right="0" w:rightChars="0" w:firstLine="480" w:firstLineChars="200"/>
        <w:jc w:val="lef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提交供应商资料应清晰且完整，大小不超过20M。（提交的邮件附件总大小超过</w:t>
      </w:r>
      <w:r>
        <w:rPr>
          <w:rFonts w:hint="eastAsia" w:ascii="宋体" w:hAnsi="宋体" w:eastAsia="宋体" w:cs="宋体"/>
          <w:b/>
          <w:bCs/>
          <w:kern w:val="2"/>
          <w:sz w:val="24"/>
          <w:szCs w:val="24"/>
          <w:lang w:val="en-US" w:eastAsia="zh-CN" w:bidi="ar"/>
        </w:rPr>
        <w:t>20M</w:t>
      </w:r>
      <w:r>
        <w:rPr>
          <w:rFonts w:hint="eastAsia" w:ascii="宋体" w:hAnsi="宋体" w:eastAsia="宋体" w:cs="宋体"/>
          <w:kern w:val="2"/>
          <w:sz w:val="24"/>
          <w:szCs w:val="24"/>
          <w:lang w:val="en-US" w:eastAsia="zh-CN" w:bidi="ar"/>
        </w:rPr>
        <w:t>自动拦截视为无效应答，附件请勿通过第三方邮箱转存附件，</w:t>
      </w:r>
      <w:r>
        <w:rPr>
          <w:rFonts w:hint="eastAsia" w:ascii="宋体" w:hAnsi="宋体" w:eastAsia="宋体" w:cs="宋体"/>
          <w:b/>
          <w:bCs/>
          <w:kern w:val="2"/>
          <w:sz w:val="24"/>
          <w:szCs w:val="24"/>
          <w:lang w:val="en-US" w:eastAsia="zh-CN" w:bidi="ar"/>
        </w:rPr>
        <w:t>材料1和材料2转为PDF格式发送</w:t>
      </w:r>
      <w:r>
        <w:rPr>
          <w:rFonts w:hint="eastAsia" w:ascii="宋体" w:hAnsi="宋体" w:eastAsia="宋体" w:cs="宋体"/>
          <w:kern w:val="2"/>
          <w:sz w:val="24"/>
          <w:szCs w:val="24"/>
          <w:lang w:val="en-US" w:eastAsia="zh-CN" w:bidi="ar"/>
        </w:rPr>
        <w:t>）</w:t>
      </w:r>
    </w:p>
    <w:p>
      <w:pPr>
        <w:keepNext w:val="0"/>
        <w:keepLines w:val="0"/>
        <w:pageBreakBefore w:val="0"/>
        <w:numPr>
          <w:ilvl w:val="0"/>
          <w:numId w:val="3"/>
        </w:numPr>
        <w:kinsoku/>
        <w:wordWrap/>
        <w:overflowPunct/>
        <w:autoSpaceDE/>
        <w:autoSpaceDN/>
        <w:bidi w:val="0"/>
        <w:adjustRightInd/>
        <w:snapToGrid/>
        <w:spacing w:line="440" w:lineRule="exact"/>
        <w:ind w:left="0" w:leftChars="0" w:firstLine="482" w:firstLineChars="200"/>
        <w:textAlignment w:val="auto"/>
        <w:rPr>
          <w:rFonts w:hint="eastAsia" w:ascii="宋体" w:hAnsi="宋体" w:eastAsia="宋体"/>
          <w:sz w:val="24"/>
          <w:szCs w:val="24"/>
        </w:rPr>
      </w:pPr>
      <w:r>
        <w:rPr>
          <w:rFonts w:hint="eastAsia" w:ascii="宋体" w:hAnsi="宋体" w:eastAsia="宋体"/>
          <w:b/>
          <w:bCs/>
          <w:sz w:val="24"/>
          <w:szCs w:val="24"/>
        </w:rPr>
        <w:t>非在库供应商请在征集时间内通过厦门国际银行采购门户网站（</w:t>
      </w:r>
      <w:r>
        <w:rPr>
          <w:rFonts w:ascii="宋体" w:hAnsi="宋体" w:eastAsia="宋体"/>
          <w:b/>
          <w:bCs/>
          <w:sz w:val="24"/>
          <w:szCs w:val="24"/>
        </w:rPr>
        <w:t>https://cpms.xib.com.cn/）完成注册，详情请登录门户网站</w:t>
      </w:r>
      <w:r>
        <w:rPr>
          <w:rFonts w:hint="eastAsia" w:ascii="宋体" w:hAnsi="宋体" w:eastAsia="宋体"/>
          <w:b/>
          <w:bCs/>
          <w:sz w:val="24"/>
          <w:szCs w:val="24"/>
        </w:rPr>
        <w:t>查阅《供应商门户操作手册》。</w:t>
      </w:r>
      <w:r>
        <w:rPr>
          <w:rFonts w:hint="eastAsia" w:ascii="宋体" w:hAnsi="宋体" w:eastAsia="宋体"/>
          <w:color w:val="auto"/>
          <w:sz w:val="24"/>
          <w:szCs w:val="24"/>
        </w:rPr>
        <w:t>如已在厦门国际银行供应商库内，无需再次注册。</w:t>
      </w:r>
    </w:p>
    <w:p>
      <w:pPr>
        <w:keepNext w:val="0"/>
        <w:keepLines w:val="0"/>
        <w:pageBreakBefore w:val="0"/>
        <w:widowControl/>
        <w:numPr>
          <w:ilvl w:val="0"/>
          <w:numId w:val="3"/>
        </w:numPr>
        <w:kinsoku/>
        <w:wordWrap/>
        <w:overflowPunct/>
        <w:autoSpaceDE/>
        <w:autoSpaceDN/>
        <w:bidi w:val="0"/>
        <w:adjustRightInd/>
        <w:snapToGrid/>
        <w:spacing w:line="440" w:lineRule="exact"/>
        <w:ind w:left="0" w:leftChars="0" w:firstLine="480" w:firstLineChars="200"/>
        <w:jc w:val="left"/>
        <w:textAlignment w:val="auto"/>
        <w:rPr>
          <w:rFonts w:hint="default" w:ascii="宋体" w:hAnsi="宋体" w:eastAsia="宋体"/>
          <w:sz w:val="24"/>
          <w:szCs w:val="24"/>
          <w:lang w:val="en-US" w:eastAsia="zh-CN"/>
        </w:rPr>
      </w:pPr>
      <w:r>
        <w:rPr>
          <w:rFonts w:hint="eastAsia" w:ascii="宋体" w:eastAsia="宋体"/>
          <w:color w:val="auto"/>
          <w:sz w:val="24"/>
          <w:szCs w:val="24"/>
          <w:lang w:val="en-US" w:eastAsia="zh-CN"/>
        </w:rPr>
        <w:t>参与公开征集的供应商经审查通过后正式进入厦门国际银行供应商信息库，作为厦门国际银行在库供应商，进入厦门国际银行供应商库的供应商方可受邀参加厦门国际银行的采购项目。</w:t>
      </w:r>
    </w:p>
    <w:p>
      <w:pPr>
        <w:keepNext w:val="0"/>
        <w:keepLines w:val="0"/>
        <w:pageBreakBefore w:val="0"/>
        <w:widowControl/>
        <w:numPr>
          <w:ilvl w:val="0"/>
          <w:numId w:val="3"/>
        </w:numPr>
        <w:kinsoku/>
        <w:wordWrap/>
        <w:overflowPunct/>
        <w:autoSpaceDE/>
        <w:autoSpaceDN/>
        <w:bidi w:val="0"/>
        <w:adjustRightInd/>
        <w:snapToGrid/>
        <w:spacing w:line="440" w:lineRule="exact"/>
        <w:ind w:left="0" w:leftChars="0" w:firstLine="480" w:firstLineChars="200"/>
        <w:jc w:val="left"/>
        <w:textAlignment w:val="auto"/>
        <w:rPr>
          <w:rFonts w:hint="default" w:ascii="宋体" w:hAnsi="宋体" w:eastAsia="宋体"/>
          <w:sz w:val="24"/>
          <w:szCs w:val="24"/>
          <w:lang w:val="en-US" w:eastAsia="zh-CN"/>
        </w:rPr>
      </w:pPr>
      <w:r>
        <w:rPr>
          <w:rFonts w:hint="eastAsia" w:ascii="宋体" w:hAnsi="宋体" w:eastAsia="宋体"/>
          <w:sz w:val="24"/>
          <w:szCs w:val="24"/>
        </w:rPr>
        <w:t>请按上述要求提供报名材料，报名资料须提供加盖公章的原件扫描件，对于递交资料不全的、资料内容缺失的，或未按要求加盖公章及法人签</w:t>
      </w:r>
      <w:r>
        <w:rPr>
          <w:rFonts w:hint="eastAsia" w:ascii="宋体" w:hAnsi="宋体" w:eastAsia="宋体"/>
          <w:sz w:val="24"/>
          <w:szCs w:val="24"/>
          <w:lang w:val="en-US" w:eastAsia="zh-CN"/>
        </w:rPr>
        <w:t>章</w:t>
      </w:r>
      <w:r>
        <w:rPr>
          <w:rFonts w:hint="eastAsia" w:ascii="宋体" w:hAnsi="宋体" w:eastAsia="宋体"/>
          <w:sz w:val="24"/>
          <w:szCs w:val="24"/>
        </w:rPr>
        <w:t>的原件电子扫描件视为报名资料缺漏，</w:t>
      </w:r>
      <w:r>
        <w:rPr>
          <w:rFonts w:hint="eastAsia" w:ascii="宋体" w:hAnsi="宋体" w:eastAsia="宋体"/>
          <w:sz w:val="24"/>
          <w:szCs w:val="24"/>
          <w:lang w:val="en-US" w:eastAsia="zh-CN"/>
        </w:rPr>
        <w:t>征集</w:t>
      </w:r>
      <w:r>
        <w:rPr>
          <w:rFonts w:hint="eastAsia" w:ascii="宋体" w:hAnsi="宋体" w:eastAsia="宋体"/>
          <w:sz w:val="24"/>
          <w:szCs w:val="24"/>
        </w:rPr>
        <w:t>人将拒绝接受其报名。</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line="440" w:lineRule="exact"/>
        <w:ind w:left="0" w:leftChars="0" w:right="0" w:firstLine="0" w:firstLineChars="0"/>
        <w:jc w:val="left"/>
        <w:rPr>
          <w:rFonts w:hint="eastAsia" w:ascii="宋体" w:hAnsi="宋体" w:eastAsia="宋体" w:cs="宋体"/>
          <w:kern w:val="2"/>
          <w:sz w:val="24"/>
          <w:szCs w:val="24"/>
          <w:lang w:val="en-US" w:eastAsia="zh-CN" w:bidi="ar"/>
        </w:rPr>
      </w:pPr>
      <w:r>
        <w:rPr>
          <w:rFonts w:hint="eastAsia" w:ascii="宋体" w:hAnsi="宋体" w:eastAsia="宋体" w:cs="宋体"/>
          <w:b/>
          <w:bCs/>
          <w:sz w:val="24"/>
          <w:szCs w:val="24"/>
        </w:rPr>
        <w:t>★上述材料</w:t>
      </w:r>
      <w:r>
        <w:rPr>
          <w:rFonts w:hint="eastAsia" w:ascii="宋体" w:hAnsi="宋体" w:eastAsia="宋体" w:cs="宋体"/>
          <w:b/>
          <w:bCs/>
          <w:sz w:val="24"/>
          <w:szCs w:val="24"/>
          <w:lang w:val="en-US" w:eastAsia="zh-CN"/>
        </w:rPr>
        <w:t>内容</w:t>
      </w:r>
      <w:r>
        <w:rPr>
          <w:rFonts w:hint="eastAsia" w:ascii="宋体" w:hAnsi="宋体" w:eastAsia="宋体" w:cs="宋体"/>
          <w:b/>
          <w:bCs/>
          <w:sz w:val="24"/>
          <w:szCs w:val="24"/>
        </w:rPr>
        <w:t>均需</w:t>
      </w:r>
      <w:r>
        <w:rPr>
          <w:rFonts w:hint="eastAsia" w:ascii="宋体" w:hAnsi="宋体" w:eastAsia="宋体" w:cs="宋体"/>
          <w:b/>
          <w:bCs/>
          <w:sz w:val="24"/>
          <w:szCs w:val="24"/>
          <w:highlight w:val="yellow"/>
          <w:lang w:val="en-US" w:eastAsia="zh-CN"/>
        </w:rPr>
        <w:t>清晰显示</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加盖供应商单位公章且为PDF格式。</w:t>
      </w:r>
      <w:r>
        <w:rPr>
          <w:rFonts w:hint="eastAsia" w:ascii="宋体" w:hAnsi="宋体" w:eastAsia="宋体" w:cs="宋体"/>
          <w:b/>
          <w:bCs/>
          <w:sz w:val="24"/>
          <w:szCs w:val="24"/>
          <w:lang w:val="en-US" w:eastAsia="zh-CN"/>
        </w:rPr>
        <w:t>多页的需加盖骑缝章或每页盖章</w:t>
      </w:r>
      <w:r>
        <w:rPr>
          <w:rFonts w:hint="eastAsia" w:ascii="宋体" w:hAnsi="宋体" w:eastAsia="宋体" w:cs="宋体"/>
          <w:b/>
          <w:bCs/>
          <w:color w:val="FF0000"/>
          <w:sz w:val="24"/>
          <w:szCs w:val="24"/>
          <w:lang w:val="en-US" w:eastAsia="zh-CN"/>
        </w:rPr>
        <w:t>（请使用实体公章后扫描或电子签章规范用印，勿使用抠图、图片合成等方式“用印”）</w:t>
      </w:r>
      <w:r>
        <w:rPr>
          <w:rFonts w:hint="eastAsia" w:ascii="宋体" w:hAnsi="宋体" w:eastAsia="宋体" w:cs="宋体"/>
          <w:b/>
          <w:bCs/>
          <w:sz w:val="24"/>
          <w:szCs w:val="24"/>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82" w:firstLineChars="200"/>
        <w:jc w:val="both"/>
        <w:textAlignment w:val="auto"/>
        <w:outlineLvl w:val="0"/>
        <w:rPr>
          <w:rFonts w:hint="eastAsia" w:ascii="宋体" w:hAnsi="宋体" w:eastAsia="宋体" w:cs="宋体"/>
          <w:b/>
          <w:bCs/>
          <w:sz w:val="24"/>
          <w:lang w:bidi="ar"/>
        </w:rPr>
      </w:pPr>
      <w:bookmarkStart w:id="0" w:name="_GoBack"/>
      <w:r>
        <w:rPr>
          <w:rFonts w:hint="eastAsia" w:ascii="宋体" w:hAnsi="宋体" w:eastAsia="宋体" w:cs="宋体"/>
          <w:b/>
          <w:bCs/>
          <w:kern w:val="2"/>
          <w:sz w:val="24"/>
          <w:szCs w:val="24"/>
          <w:lang w:val="en-US" w:eastAsia="zh-CN" w:bidi="ar"/>
        </w:rPr>
        <w:t>六、其他注意事项</w:t>
      </w:r>
    </w:p>
    <w:bookmarkEnd w:id="0"/>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1.能够完全满足我行采购需求、有合作意向、符合资格要求、报名要求的供应商均可报名。</w:t>
      </w:r>
    </w:p>
    <w:p>
      <w:pPr>
        <w:pStyle w:val="2"/>
        <w:spacing w:line="440" w:lineRule="exact"/>
        <w:rPr>
          <w:rFonts w:hint="eastAsia" w:ascii="宋体" w:hAnsi="宋体" w:eastAsia="宋体" w:cs="宋体"/>
          <w:b/>
          <w:bCs/>
          <w:color w:val="FF0000"/>
          <w:kern w:val="2"/>
          <w:sz w:val="24"/>
          <w:szCs w:val="24"/>
          <w:lang w:val="en-US" w:eastAsia="zh-CN" w:bidi="ar"/>
        </w:rPr>
      </w:pPr>
      <w:r>
        <w:rPr>
          <w:rFonts w:hint="eastAsia" w:ascii="宋体" w:hAnsi="宋体" w:eastAsia="宋体" w:cs="宋体"/>
          <w:kern w:val="2"/>
          <w:sz w:val="24"/>
          <w:szCs w:val="24"/>
          <w:lang w:val="en-US" w:eastAsia="zh-CN" w:bidi="ar"/>
        </w:rPr>
        <w:t>2.</w:t>
      </w:r>
      <w:r>
        <w:rPr>
          <w:rFonts w:hint="eastAsia" w:ascii="宋体" w:hAnsi="宋体" w:eastAsia="宋体" w:cs="宋体"/>
          <w:b/>
          <w:bCs/>
          <w:color w:val="FF0000"/>
          <w:kern w:val="2"/>
          <w:sz w:val="24"/>
          <w:szCs w:val="24"/>
          <w:lang w:val="en-US" w:eastAsia="zh-CN" w:bidi="ar"/>
        </w:rPr>
        <w:t>征集人接收供应商的报名资料并不表示接受报名供应商参与本项目，征集人有权选定并邀请全部或部分合格供应商参与本项目集中采购活动。</w:t>
      </w:r>
    </w:p>
    <w:p>
      <w:pPr>
        <w:keepNext w:val="0"/>
        <w:keepLines w:val="0"/>
        <w:widowControl w:val="0"/>
        <w:numPr>
          <w:ilvl w:val="-1"/>
          <w:numId w:val="0"/>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sz w:val="24"/>
          <w:szCs w:val="32"/>
        </w:rPr>
        <w:t>进入邀请名单的供应商将以邮件形式进行通知，非请勿扰。</w:t>
      </w:r>
    </w:p>
    <w:p>
      <w:pPr>
        <w:keepNext w:val="0"/>
        <w:keepLines w:val="0"/>
        <w:widowControl w:val="0"/>
        <w:numPr>
          <w:ilvl w:val="-1"/>
          <w:numId w:val="0"/>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w:t>
      </w:r>
      <w:r>
        <w:rPr>
          <w:rFonts w:hint="eastAsia" w:ascii="宋体" w:eastAsia="宋体" w:cs="宋体"/>
          <w:kern w:val="2"/>
          <w:sz w:val="24"/>
          <w:szCs w:val="24"/>
          <w:lang w:val="en-US" w:eastAsia="zh-CN" w:bidi="ar"/>
        </w:rPr>
        <w:t>征集人视收到的上述资料不涉及商业秘密，所有供应商报名资料恕不退还。</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4.本次公开征集不收取供应商的任何费用。</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5.供应商须对报名信息和资料的真实性负责。如提供虚假材料，将取消报名资格并列入我行供应商黑名单。</w:t>
      </w:r>
    </w:p>
    <w:p>
      <w:pPr>
        <w:widowControl w:val="0"/>
        <w:spacing w:line="440" w:lineRule="exact"/>
        <w:ind w:firstLine="480" w:firstLineChars="200"/>
        <w:rPr>
          <w:rFonts w:hint="eastAsia" w:ascii="宋体" w:hAnsi="宋体" w:eastAsia="宋体" w:cs="宋体"/>
        </w:rPr>
      </w:pPr>
      <w:r>
        <w:rPr>
          <w:rFonts w:hint="eastAsia" w:ascii="宋体" w:hAnsi="宋体" w:cs="宋体"/>
          <w:kern w:val="2"/>
          <w:sz w:val="24"/>
          <w:szCs w:val="24"/>
          <w:lang w:val="en-US" w:eastAsia="zh-CN" w:bidi="ar"/>
        </w:rPr>
        <w:t>6.</w:t>
      </w:r>
      <w:r>
        <w:rPr>
          <w:rFonts w:hint="eastAsia" w:ascii="宋体" w:hAnsi="宋体" w:eastAsia="宋体" w:cs="宋体"/>
          <w:kern w:val="0"/>
          <w:sz w:val="24"/>
          <w:szCs w:val="24"/>
        </w:rPr>
        <w:t>对于上述事项存在疑问的，请及时与我行联系。</w:t>
      </w:r>
    </w:p>
    <w:p>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特此公告。</w:t>
      </w:r>
    </w:p>
    <w:p>
      <w:pPr>
        <w:spacing w:line="440" w:lineRule="exact"/>
        <w:ind w:firstLine="480" w:firstLineChars="200"/>
        <w:jc w:val="right"/>
        <w:rPr>
          <w:rFonts w:hint="eastAsia" w:ascii="宋体" w:hAnsi="宋体" w:eastAsia="宋体"/>
          <w:sz w:val="24"/>
          <w:szCs w:val="24"/>
        </w:rPr>
      </w:pPr>
    </w:p>
    <w:p>
      <w:pPr>
        <w:spacing w:line="440" w:lineRule="exact"/>
        <w:ind w:firstLine="480" w:firstLineChars="200"/>
        <w:jc w:val="right"/>
        <w:rPr>
          <w:rFonts w:hint="eastAsia" w:ascii="宋体" w:hAnsi="宋体" w:eastAsia="宋体"/>
          <w:sz w:val="24"/>
          <w:szCs w:val="24"/>
        </w:rPr>
      </w:pP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5</w:t>
      </w:r>
      <w:r>
        <w:rPr>
          <w:rFonts w:ascii="宋体" w:hAnsi="宋体" w:eastAsia="宋体"/>
          <w:sz w:val="24"/>
          <w:szCs w:val="24"/>
        </w:rPr>
        <w:t>年</w:t>
      </w:r>
      <w:r>
        <w:rPr>
          <w:rFonts w:hint="eastAsia" w:ascii="宋体" w:hAnsi="宋体" w:eastAsia="宋体"/>
          <w:sz w:val="24"/>
          <w:szCs w:val="24"/>
          <w:lang w:val="en-US" w:eastAsia="zh-CN"/>
        </w:rPr>
        <w:t>12</w:t>
      </w:r>
      <w:r>
        <w:rPr>
          <w:rFonts w:ascii="宋体" w:hAnsi="宋体" w:eastAsia="宋体"/>
          <w:sz w:val="24"/>
          <w:szCs w:val="24"/>
        </w:rPr>
        <w:t>月</w:t>
      </w:r>
      <w:r>
        <w:rPr>
          <w:rFonts w:hint="eastAsia" w:ascii="宋体" w:hAnsi="宋体" w:eastAsia="宋体"/>
          <w:sz w:val="24"/>
          <w:szCs w:val="24"/>
          <w:lang w:val="en-US" w:eastAsia="zh-CN"/>
        </w:rPr>
        <w:t>4</w:t>
      </w:r>
      <w:r>
        <w:rPr>
          <w:rFonts w:ascii="宋体" w:hAnsi="宋体" w:eastAsia="宋体"/>
          <w:sz w:val="24"/>
          <w:szCs w:val="24"/>
        </w:rPr>
        <w:t>日</w:t>
      </w:r>
    </w:p>
    <w:p>
      <w:pPr>
        <w:spacing w:line="440" w:lineRule="exact"/>
        <w:ind w:firstLine="480" w:firstLineChars="200"/>
        <w:jc w:val="right"/>
        <w:rPr>
          <w:rFonts w:ascii="宋体" w:hAnsi="宋体" w:eastAsia="宋体"/>
          <w:sz w:val="24"/>
          <w:szCs w:val="24"/>
        </w:rPr>
      </w:pPr>
    </w:p>
    <w:p>
      <w:pPr>
        <w:spacing w:line="440" w:lineRule="exact"/>
        <w:rPr>
          <w:rFonts w:hint="eastAsia"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51A9A3"/>
    <w:multiLevelType w:val="singleLevel"/>
    <w:tmpl w:val="AE51A9A3"/>
    <w:lvl w:ilvl="0" w:tentative="0">
      <w:start w:val="2"/>
      <w:numFmt w:val="decimal"/>
      <w:suff w:val="space"/>
      <w:lvlText w:val="%1."/>
      <w:lvlJc w:val="left"/>
    </w:lvl>
  </w:abstractNum>
  <w:abstractNum w:abstractNumId="1">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4"/>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pStyle w:val="5"/>
      <w:lvlText w:val="%1.%2.%3."/>
      <w:lvlJc w:val="left"/>
      <w:pPr>
        <w:tabs>
          <w:tab w:val="left" w:pos="1135"/>
        </w:tabs>
        <w:ind w:left="1135" w:hanging="709"/>
      </w:pPr>
      <w:rPr>
        <w:rFonts w:hint="eastAsia"/>
      </w:rPr>
    </w:lvl>
    <w:lvl w:ilvl="3" w:tentative="0">
      <w:start w:val="1"/>
      <w:numFmt w:val="decimal"/>
      <w:pStyle w:val="8"/>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0B47DC2"/>
    <w:rsid w:val="02AF65DD"/>
    <w:rsid w:val="035717DD"/>
    <w:rsid w:val="040824AC"/>
    <w:rsid w:val="04C50596"/>
    <w:rsid w:val="04F52815"/>
    <w:rsid w:val="05DF0F7E"/>
    <w:rsid w:val="07590D47"/>
    <w:rsid w:val="07C10BDA"/>
    <w:rsid w:val="080D77A6"/>
    <w:rsid w:val="08ED64C0"/>
    <w:rsid w:val="09A44488"/>
    <w:rsid w:val="0BA9624D"/>
    <w:rsid w:val="0F1A6A26"/>
    <w:rsid w:val="0FE764A2"/>
    <w:rsid w:val="10D05B8E"/>
    <w:rsid w:val="10D32584"/>
    <w:rsid w:val="12E16087"/>
    <w:rsid w:val="143C503F"/>
    <w:rsid w:val="151C4634"/>
    <w:rsid w:val="16064560"/>
    <w:rsid w:val="171A6EB7"/>
    <w:rsid w:val="17766761"/>
    <w:rsid w:val="178D7253"/>
    <w:rsid w:val="18415285"/>
    <w:rsid w:val="1AF5110C"/>
    <w:rsid w:val="1C1E560A"/>
    <w:rsid w:val="1C4B0A11"/>
    <w:rsid w:val="1C5674A5"/>
    <w:rsid w:val="1C84132C"/>
    <w:rsid w:val="1ED54905"/>
    <w:rsid w:val="1FD80A16"/>
    <w:rsid w:val="222E42E1"/>
    <w:rsid w:val="248511C0"/>
    <w:rsid w:val="28C52760"/>
    <w:rsid w:val="29853273"/>
    <w:rsid w:val="2B312BCE"/>
    <w:rsid w:val="2BB013B7"/>
    <w:rsid w:val="2C002AAE"/>
    <w:rsid w:val="2C842DF2"/>
    <w:rsid w:val="2CF02B32"/>
    <w:rsid w:val="2D4B705C"/>
    <w:rsid w:val="2DB64064"/>
    <w:rsid w:val="2DE013E2"/>
    <w:rsid w:val="2EB247B1"/>
    <w:rsid w:val="2EB84738"/>
    <w:rsid w:val="2FE049B1"/>
    <w:rsid w:val="329F3E18"/>
    <w:rsid w:val="33BE6305"/>
    <w:rsid w:val="34D232A0"/>
    <w:rsid w:val="360B0315"/>
    <w:rsid w:val="38325D99"/>
    <w:rsid w:val="39B23330"/>
    <w:rsid w:val="3A811726"/>
    <w:rsid w:val="3B4306F9"/>
    <w:rsid w:val="3DB755CD"/>
    <w:rsid w:val="3DC90D6A"/>
    <w:rsid w:val="3FE34229"/>
    <w:rsid w:val="461456FB"/>
    <w:rsid w:val="464C52A2"/>
    <w:rsid w:val="465270EF"/>
    <w:rsid w:val="46CC4364"/>
    <w:rsid w:val="47670B87"/>
    <w:rsid w:val="482031CA"/>
    <w:rsid w:val="48324022"/>
    <w:rsid w:val="4A343869"/>
    <w:rsid w:val="4AB60E18"/>
    <w:rsid w:val="4BC157CC"/>
    <w:rsid w:val="4C9B4B2A"/>
    <w:rsid w:val="4D7D2D57"/>
    <w:rsid w:val="4E563093"/>
    <w:rsid w:val="4F402D9D"/>
    <w:rsid w:val="4FF80064"/>
    <w:rsid w:val="50CE4278"/>
    <w:rsid w:val="518E5D15"/>
    <w:rsid w:val="519A31F0"/>
    <w:rsid w:val="52163D98"/>
    <w:rsid w:val="53AE3814"/>
    <w:rsid w:val="5407085B"/>
    <w:rsid w:val="58EA695E"/>
    <w:rsid w:val="5CC84698"/>
    <w:rsid w:val="5CF714FC"/>
    <w:rsid w:val="5DEF5978"/>
    <w:rsid w:val="5F4C5CE4"/>
    <w:rsid w:val="5FF82CFA"/>
    <w:rsid w:val="638E2EC5"/>
    <w:rsid w:val="63981DDE"/>
    <w:rsid w:val="63C803AC"/>
    <w:rsid w:val="66665D3B"/>
    <w:rsid w:val="672F63D1"/>
    <w:rsid w:val="6828423E"/>
    <w:rsid w:val="69057612"/>
    <w:rsid w:val="691A7EAA"/>
    <w:rsid w:val="69603456"/>
    <w:rsid w:val="69771799"/>
    <w:rsid w:val="6A0A0D36"/>
    <w:rsid w:val="6A780F30"/>
    <w:rsid w:val="6E0A0539"/>
    <w:rsid w:val="6F2F4B24"/>
    <w:rsid w:val="71814EAA"/>
    <w:rsid w:val="71AA5D09"/>
    <w:rsid w:val="7305217D"/>
    <w:rsid w:val="755F2B0A"/>
    <w:rsid w:val="76B0623D"/>
    <w:rsid w:val="76D13D4E"/>
    <w:rsid w:val="7A646F29"/>
    <w:rsid w:val="7C7C4FB5"/>
    <w:rsid w:val="7CFA47ED"/>
    <w:rsid w:val="7D542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5">
    <w:name w:val="heading 3"/>
    <w:basedOn w:val="1"/>
    <w:next w:val="6"/>
    <w:qFormat/>
    <w:uiPriority w:val="0"/>
    <w:pPr>
      <w:keepNext/>
      <w:keepLines/>
      <w:numPr>
        <w:ilvl w:val="2"/>
        <w:numId w:val="1"/>
      </w:numPr>
      <w:tabs>
        <w:tab w:val="left" w:pos="735"/>
      </w:tabs>
      <w:spacing w:after="156" w:afterLines="50" w:line="360" w:lineRule="auto"/>
      <w:outlineLvl w:val="2"/>
    </w:pPr>
    <w:rPr>
      <w:rFonts w:ascii="Times New Roman" w:hAnsi="Times New Roman"/>
      <w:b/>
      <w:bCs/>
      <w:sz w:val="30"/>
      <w:szCs w:val="32"/>
    </w:rPr>
  </w:style>
  <w:style w:type="paragraph" w:styleId="8">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60" w:lineRule="auto"/>
      <w:ind w:firstLine="480" w:firstLineChars="200"/>
    </w:pPr>
    <w:rPr>
      <w:rFonts w:ascii="Times New Roman" w:hAnsi="宋体"/>
      <w:sz w:val="24"/>
      <w:szCs w:val="24"/>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customStyle="1" w:styleId="6">
    <w:name w:val="正文样式my + 首行缩进:  0.74 厘米"/>
    <w:basedOn w:val="7"/>
    <w:qFormat/>
    <w:uiPriority w:val="0"/>
    <w:pPr>
      <w:ind w:firstLine="420"/>
    </w:pPr>
    <w:rPr>
      <w:rFonts w:cs="宋体"/>
      <w:szCs w:val="20"/>
    </w:rPr>
  </w:style>
  <w:style w:type="paragraph" w:customStyle="1" w:styleId="7">
    <w:name w:val="正文样式1"/>
    <w:basedOn w:val="1"/>
    <w:qFormat/>
    <w:uiPriority w:val="0"/>
    <w:pPr>
      <w:spacing w:line="360" w:lineRule="auto"/>
      <w:ind w:firstLine="480"/>
    </w:pPr>
    <w:rPr>
      <w:rFonts w:ascii="宋体" w:hAnsi="宋体"/>
      <w:sz w:val="24"/>
      <w:szCs w:val="24"/>
    </w:rPr>
  </w:style>
  <w:style w:type="paragraph" w:styleId="9">
    <w:name w:val="annotation text"/>
    <w:basedOn w:val="1"/>
    <w:qFormat/>
    <w:uiPriority w:val="0"/>
    <w:pPr>
      <w:jc w:val="left"/>
    </w:p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rPr>
  </w:style>
  <w:style w:type="character" w:styleId="15">
    <w:name w:val="FollowedHyperlink"/>
    <w:basedOn w:val="13"/>
    <w:qFormat/>
    <w:uiPriority w:val="0"/>
    <w:rPr>
      <w:color w:val="277EFF"/>
      <w:u w:val="none"/>
    </w:rPr>
  </w:style>
  <w:style w:type="character" w:styleId="16">
    <w:name w:val="Emphasis"/>
    <w:basedOn w:val="13"/>
    <w:qFormat/>
    <w:uiPriority w:val="0"/>
  </w:style>
  <w:style w:type="character" w:styleId="17">
    <w:name w:val="HTML Definition"/>
    <w:basedOn w:val="13"/>
    <w:qFormat/>
    <w:uiPriority w:val="0"/>
  </w:style>
  <w:style w:type="character" w:styleId="18">
    <w:name w:val="HTML Acronym"/>
    <w:basedOn w:val="13"/>
    <w:qFormat/>
    <w:uiPriority w:val="0"/>
  </w:style>
  <w:style w:type="character" w:styleId="19">
    <w:name w:val="HTML Variable"/>
    <w:basedOn w:val="13"/>
    <w:qFormat/>
    <w:uiPriority w:val="0"/>
  </w:style>
  <w:style w:type="character" w:styleId="20">
    <w:name w:val="Hyperlink"/>
    <w:basedOn w:val="13"/>
    <w:qFormat/>
    <w:uiPriority w:val="0"/>
    <w:rPr>
      <w:color w:val="277EFF"/>
      <w:u w:val="none"/>
    </w:rPr>
  </w:style>
  <w:style w:type="character" w:styleId="21">
    <w:name w:val="HTML Code"/>
    <w:basedOn w:val="13"/>
    <w:qFormat/>
    <w:uiPriority w:val="0"/>
    <w:rPr>
      <w:rFonts w:ascii="Courier New" w:hAnsi="Courier New"/>
      <w:sz w:val="20"/>
    </w:rPr>
  </w:style>
  <w:style w:type="character" w:styleId="22">
    <w:name w:val="annotation reference"/>
    <w:semiHidden/>
    <w:qFormat/>
    <w:uiPriority w:val="99"/>
    <w:rPr>
      <w:sz w:val="21"/>
      <w:szCs w:val="21"/>
    </w:rPr>
  </w:style>
  <w:style w:type="character" w:styleId="23">
    <w:name w:val="HTML Cite"/>
    <w:basedOn w:val="13"/>
    <w:qFormat/>
    <w:uiPriority w:val="0"/>
  </w:style>
  <w:style w:type="paragraph" w:customStyle="1" w:styleId="24">
    <w:name w:val="标题_自定义_4"/>
    <w:basedOn w:val="8"/>
    <w:qFormat/>
    <w:uiPriority w:val="0"/>
    <w:pPr>
      <w:numPr>
        <w:ilvl w:val="3"/>
        <w:numId w:val="2"/>
      </w:numPr>
      <w:spacing w:line="372" w:lineRule="auto"/>
    </w:pPr>
    <w:rPr>
      <w:rFonts w:ascii="Times New Roman" w:hAnsi="Cambria" w:eastAsia="宋体" w:cs="Times New Roman"/>
      <w:sz w:val="24"/>
      <w:szCs w:val="24"/>
    </w:rPr>
  </w:style>
  <w:style w:type="character" w:customStyle="1" w:styleId="25">
    <w:name w:val="concat-text"/>
    <w:basedOn w:val="13"/>
    <w:qFormat/>
    <w:uiPriority w:val="0"/>
  </w:style>
  <w:style w:type="character" w:customStyle="1" w:styleId="26">
    <w:name w:val="hover7"/>
    <w:basedOn w:val="13"/>
    <w:qFormat/>
    <w:uiPriority w:val="0"/>
    <w:rPr>
      <w:color w:val="004098"/>
      <w:bdr w:val="single" w:color="004098" w:sz="4" w:space="0"/>
    </w:rPr>
  </w:style>
  <w:style w:type="character" w:customStyle="1" w:styleId="27">
    <w:name w:val="hover8"/>
    <w:basedOn w:val="13"/>
    <w:qFormat/>
    <w:uiPriority w:val="0"/>
    <w:rPr>
      <w:color w:val="FFFFFF"/>
      <w:shd w:val="clear" w:fill="004098"/>
    </w:rPr>
  </w:style>
  <w:style w:type="character" w:customStyle="1" w:styleId="28">
    <w:name w:val="hover9"/>
    <w:basedOn w:val="13"/>
    <w:qFormat/>
    <w:uiPriority w:val="0"/>
    <w:rPr>
      <w:color w:val="FFFFFF"/>
    </w:rPr>
  </w:style>
  <w:style w:type="character" w:customStyle="1" w:styleId="29">
    <w:name w:val="hover10"/>
    <w:basedOn w:val="13"/>
    <w:qFormat/>
    <w:uiPriority w:val="0"/>
    <w:rPr>
      <w:color w:val="FFFFFF"/>
      <w:shd w:val="clear" w:fill="6495ED"/>
    </w:rPr>
  </w:style>
  <w:style w:type="character" w:customStyle="1" w:styleId="30">
    <w:name w:val="advice"/>
    <w:basedOn w:val="13"/>
    <w:qFormat/>
    <w:uiPriority w:val="0"/>
    <w:rPr>
      <w:color w:val="004098"/>
      <w:bdr w:val="single" w:color="004098" w:sz="4" w:space="0"/>
    </w:rPr>
  </w:style>
  <w:style w:type="character" w:customStyle="1" w:styleId="31">
    <w:name w:val="last-child"/>
    <w:basedOn w:val="13"/>
    <w:qFormat/>
    <w:uiPriority w:val="0"/>
  </w:style>
  <w:style w:type="character" w:customStyle="1" w:styleId="32">
    <w:name w:val="on1"/>
    <w:basedOn w:val="13"/>
    <w:qFormat/>
    <w:uiPriority w:val="0"/>
    <w:rPr>
      <w:color w:val="FFFFFF"/>
      <w:shd w:val="clear" w:fill="004098"/>
    </w:rPr>
  </w:style>
  <w:style w:type="character" w:customStyle="1" w:styleId="33">
    <w:name w:val="on2"/>
    <w:basedOn w:val="13"/>
    <w:qFormat/>
    <w:uiPriority w:val="0"/>
    <w:rPr>
      <w:color w:val="004098"/>
      <w:bdr w:val="single" w:color="004098" w:sz="4" w:space="0"/>
    </w:rPr>
  </w:style>
  <w:style w:type="character" w:customStyle="1" w:styleId="34">
    <w:name w:val="active"/>
    <w:basedOn w:val="13"/>
    <w:qFormat/>
    <w:uiPriority w:val="0"/>
    <w:rPr>
      <w:color w:val="FFFFFF"/>
      <w:shd w:val="clear" w:fill="004098"/>
    </w:rPr>
  </w:style>
  <w:style w:type="character" w:customStyle="1" w:styleId="35">
    <w:name w:val="statuspurchase"/>
    <w:basedOn w:val="13"/>
    <w:qFormat/>
    <w:uiPriority w:val="0"/>
    <w:rPr>
      <w:vanish/>
      <w:color w:val="004098"/>
      <w:sz w:val="14"/>
      <w:szCs w:val="14"/>
      <w:bdr w:val="single" w:color="004098" w:sz="4" w:space="0"/>
    </w:rPr>
  </w:style>
  <w:style w:type="character" w:customStyle="1" w:styleId="36">
    <w:name w:val="concat-title"/>
    <w:basedOn w:val="13"/>
    <w:qFormat/>
    <w:uiPriority w:val="0"/>
    <w:rPr>
      <w:color w:val="666666"/>
      <w:sz w:val="16"/>
      <w:szCs w:val="16"/>
    </w:rPr>
  </w:style>
  <w:style w:type="character" w:customStyle="1" w:styleId="37">
    <w:name w:val="nth-child(1)"/>
    <w:basedOn w:val="13"/>
    <w:qFormat/>
    <w:uiPriority w:val="0"/>
  </w:style>
  <w:style w:type="character" w:customStyle="1" w:styleId="38">
    <w:name w:val="nth-child(2)"/>
    <w:basedOn w:val="13"/>
    <w:qFormat/>
    <w:uiPriority w:val="0"/>
  </w:style>
  <w:style w:type="character" w:customStyle="1" w:styleId="39">
    <w:name w:val="nth-child(2)1"/>
    <w:basedOn w:val="13"/>
    <w:qFormat/>
    <w:uiPriority w:val="0"/>
  </w:style>
  <w:style w:type="character" w:customStyle="1" w:styleId="40">
    <w:name w:val="hover"/>
    <w:basedOn w:val="13"/>
    <w:qFormat/>
    <w:uiPriority w:val="0"/>
    <w:rPr>
      <w:color w:val="004098"/>
      <w:bdr w:val="single" w:color="004098" w:sz="4" w:space="0"/>
    </w:rPr>
  </w:style>
  <w:style w:type="character" w:customStyle="1" w:styleId="41">
    <w:name w:val="hover1"/>
    <w:basedOn w:val="13"/>
    <w:qFormat/>
    <w:uiPriority w:val="0"/>
    <w:rPr>
      <w:color w:val="FFFFFF"/>
      <w:shd w:val="clear" w:fill="004098"/>
    </w:rPr>
  </w:style>
  <w:style w:type="character" w:customStyle="1" w:styleId="42">
    <w:name w:val="hover2"/>
    <w:basedOn w:val="13"/>
    <w:qFormat/>
    <w:uiPriority w:val="0"/>
    <w:rPr>
      <w:color w:val="FFFFFF"/>
    </w:rPr>
  </w:style>
  <w:style w:type="character" w:customStyle="1" w:styleId="43">
    <w:name w:val="hover3"/>
    <w:basedOn w:val="13"/>
    <w:qFormat/>
    <w:uiPriority w:val="0"/>
    <w:rPr>
      <w:color w:val="FFFFFF"/>
      <w:shd w:val="clear" w:fill="6495ED"/>
    </w:rPr>
  </w:style>
  <w:style w:type="character" w:customStyle="1" w:styleId="44">
    <w:name w:val="on"/>
    <w:basedOn w:val="13"/>
    <w:qFormat/>
    <w:uiPriority w:val="0"/>
    <w:rPr>
      <w:color w:val="FFFFFF"/>
      <w:shd w:val="clear" w:fill="004098"/>
    </w:rPr>
  </w:style>
  <w:style w:type="paragraph" w:customStyle="1" w:styleId="45">
    <w:name w:val="我的正文0"/>
    <w:basedOn w:val="1"/>
    <w:qFormat/>
    <w:uiPriority w:val="0"/>
    <w:pPr>
      <w:spacing w:line="360" w:lineRule="auto"/>
      <w:ind w:firstLine="420"/>
    </w:pPr>
    <w:rPr>
      <w:rFonts w:ascii="宋体" w:hAnsi="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xujinliang</cp:lastModifiedBy>
  <dcterms:modified xsi:type="dcterms:W3CDTF">2025-12-04T05:33:46Z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D891CC85D7224A22A0E5B5B903F4AB30</vt:lpwstr>
  </property>
  <property fmtid="{D5CDD505-2E9C-101B-9397-08002B2CF9AE}" pid="4" name="KSOTemplateDocerSaveRecord">
    <vt:lpwstr>eyJoZGlkIjoiYWU2MTdkZDRiMDcyMTJhOGIyMzA3MjY5NTA1ZWYzMjIiLCJ1c2VySWQiOiIxNjgxMzEzMDc0In0=</vt:lpwstr>
  </property>
</Properties>
</file>