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line="440" w:lineRule="exact"/>
        <w:ind w:left="0" w:right="0" w:firstLine="0" w:firstLineChars="0"/>
        <w:jc w:val="center"/>
        <w:outlineLvl w:val="0"/>
        <w:rPr>
          <w:rFonts w:hint="eastAsia" w:ascii="宋体" w:hAnsi="宋体" w:eastAsia="宋体" w:cs="宋体"/>
          <w:b/>
          <w:bCs/>
          <w:kern w:val="0"/>
          <w:sz w:val="32"/>
          <w:szCs w:val="32"/>
          <w:lang w:val="en-US" w:eastAsia="zh-CN" w:bidi="ar"/>
        </w:rPr>
      </w:pPr>
      <w:r>
        <w:rPr>
          <w:rFonts w:hint="eastAsia" w:ascii="宋体" w:hAnsi="宋体" w:eastAsia="宋体" w:cs="宋体"/>
          <w:b/>
          <w:bCs/>
          <w:kern w:val="0"/>
          <w:sz w:val="32"/>
          <w:szCs w:val="32"/>
          <w:lang w:val="en-US" w:eastAsia="zh-CN" w:bidi="ar"/>
        </w:rPr>
        <w:t>厦门国际银行国产CDC数据同步软件采购项目</w:t>
      </w:r>
    </w:p>
    <w:p>
      <w:pPr>
        <w:keepNext w:val="0"/>
        <w:keepLines w:val="0"/>
        <w:widowControl/>
        <w:suppressLineNumbers w:val="0"/>
        <w:spacing w:before="0" w:beforeAutospacing="0" w:after="0" w:afterAutospacing="0" w:line="440" w:lineRule="exact"/>
        <w:ind w:left="0" w:right="0" w:firstLine="0" w:firstLineChars="0"/>
        <w:jc w:val="center"/>
        <w:outlineLvl w:val="0"/>
        <w:rPr>
          <w:rFonts w:hint="eastAsia" w:ascii="宋体" w:hAnsi="宋体" w:eastAsia="宋体" w:cs="宋体"/>
          <w:b/>
          <w:bCs/>
          <w:sz w:val="32"/>
          <w:szCs w:val="32"/>
        </w:rPr>
      </w:pPr>
      <w:r>
        <w:rPr>
          <w:rFonts w:hint="eastAsia" w:ascii="宋体" w:hAnsi="宋体" w:eastAsia="宋体" w:cs="宋体"/>
          <w:b/>
          <w:bCs/>
          <w:kern w:val="0"/>
          <w:sz w:val="32"/>
          <w:szCs w:val="32"/>
          <w:lang w:val="en-US" w:eastAsia="zh-CN" w:bidi="ar"/>
        </w:rPr>
        <w:t>供应商征集公告</w:t>
      </w:r>
    </w:p>
    <w:p>
      <w:pPr>
        <w:keepNext w:val="0"/>
        <w:keepLines w:val="0"/>
        <w:widowControl/>
        <w:suppressLineNumbers w:val="0"/>
        <w:spacing w:before="0" w:beforeAutospacing="0" w:after="0" w:afterAutospacing="0" w:line="440" w:lineRule="exact"/>
        <w:ind w:left="0" w:right="0"/>
        <w:jc w:val="center"/>
        <w:rPr>
          <w:rFonts w:hint="eastAsia" w:ascii="宋体" w:hAnsi="宋体" w:eastAsia="宋体" w:cs="宋体"/>
          <w:sz w:val="24"/>
        </w:rPr>
      </w:pPr>
      <w:r>
        <w:rPr>
          <w:rFonts w:hint="eastAsia" w:ascii="宋体" w:hAnsi="宋体" w:eastAsia="宋体" w:cs="宋体"/>
          <w:kern w:val="2"/>
          <w:sz w:val="24"/>
          <w:szCs w:val="24"/>
          <w:lang w:val="en-US" w:eastAsia="zh-CN" w:bidi="ar"/>
        </w:rPr>
        <w:t xml:space="preserve"> </w:t>
      </w:r>
    </w:p>
    <w:p>
      <w:pPr>
        <w:keepNext w:val="0"/>
        <w:keepLines w:val="0"/>
        <w:widowControl/>
        <w:suppressLineNumbers w:val="0"/>
        <w:spacing w:before="0" w:beforeAutospacing="0" w:after="0" w:afterAutospacing="0" w:line="440" w:lineRule="exact"/>
        <w:ind w:left="0" w:right="0" w:firstLine="600"/>
        <w:jc w:val="left"/>
        <w:rPr>
          <w:rFonts w:hint="eastAsia" w:ascii="宋体" w:hAnsi="宋体" w:eastAsia="宋体" w:cs="宋体"/>
          <w:sz w:val="24"/>
        </w:rPr>
      </w:pPr>
      <w:r>
        <w:rPr>
          <w:rFonts w:hint="eastAsia" w:ascii="宋体" w:hAnsi="宋体" w:eastAsia="宋体" w:cs="宋体"/>
          <w:kern w:val="2"/>
          <w:sz w:val="24"/>
          <w:szCs w:val="24"/>
          <w:lang w:val="en-US" w:eastAsia="zh-CN" w:bidi="ar"/>
        </w:rPr>
        <w:t>征集人厦门国际银行股份有限公司根据工作需要，拟开展国产CDC数据同步软件采购项目供应商征集，有关事宜公告如下：</w:t>
      </w:r>
    </w:p>
    <w:p>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一、采购需求及资格要求</w:t>
      </w:r>
    </w:p>
    <w:p>
      <w:pPr>
        <w:keepNext w:val="0"/>
        <w:keepLines w:val="0"/>
        <w:widowControl/>
        <w:suppressLineNumbers w:val="0"/>
        <w:spacing w:before="0" w:beforeAutospacing="0" w:after="0" w:afterAutospacing="0" w:line="440" w:lineRule="exact"/>
        <w:ind w:left="0" w:right="0" w:firstLine="482" w:firstLineChars="200"/>
        <w:jc w:val="left"/>
        <w:outlineLvl w:val="1"/>
        <w:rPr>
          <w:rFonts w:hint="default" w:ascii="宋体" w:hAnsi="宋体" w:eastAsia="宋体" w:cs="宋体"/>
          <w:sz w:val="24"/>
          <w:lang w:val="en-US"/>
        </w:rPr>
      </w:pPr>
      <w:r>
        <w:rPr>
          <w:rFonts w:hint="eastAsia" w:ascii="宋体" w:hAnsi="宋体" w:eastAsia="宋体" w:cs="宋体"/>
          <w:b/>
          <w:bCs/>
          <w:kern w:val="2"/>
          <w:sz w:val="24"/>
          <w:szCs w:val="24"/>
          <w:lang w:val="en-US" w:eastAsia="zh-CN" w:bidi="ar"/>
        </w:rPr>
        <w:t>1.</w:t>
      </w:r>
      <w:r>
        <w:rPr>
          <w:rStyle w:val="13"/>
          <w:rFonts w:hint="eastAsia" w:ascii="宋体" w:hAnsi="宋体" w:eastAsia="宋体" w:cs="宋体"/>
          <w:kern w:val="0"/>
          <w:sz w:val="24"/>
          <w:szCs w:val="24"/>
          <w:lang w:val="en-US" w:eastAsia="zh-CN" w:bidi="ar"/>
        </w:rPr>
        <w:t>采购需求</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本次采购</w:t>
      </w:r>
      <w:r>
        <w:rPr>
          <w:rFonts w:hint="eastAsia" w:asciiTheme="minorEastAsia" w:hAnsiTheme="minorEastAsia"/>
          <w:sz w:val="24"/>
          <w:szCs w:val="24"/>
          <w:lang w:val="en-US" w:eastAsia="zh-CN"/>
        </w:rPr>
        <w:t>一款国产CDC同步软件的10个节点永久授权、</w:t>
      </w:r>
      <w:r>
        <w:rPr>
          <w:rFonts w:hint="eastAsia" w:asciiTheme="minorEastAsia" w:hAnsiTheme="minorEastAsia"/>
          <w:sz w:val="24"/>
          <w:szCs w:val="24"/>
        </w:rPr>
        <w:t>一年</w:t>
      </w:r>
      <w:r>
        <w:rPr>
          <w:rFonts w:hint="eastAsia" w:asciiTheme="minorEastAsia" w:hAnsiTheme="minorEastAsia"/>
          <w:sz w:val="24"/>
          <w:szCs w:val="24"/>
          <w:lang w:val="en-US" w:eastAsia="zh-CN"/>
        </w:rPr>
        <w:t>软件厂商</w:t>
      </w:r>
      <w:r>
        <w:rPr>
          <w:rFonts w:hint="eastAsia" w:asciiTheme="minorEastAsia" w:hAnsiTheme="minorEastAsia"/>
          <w:sz w:val="24"/>
          <w:szCs w:val="24"/>
        </w:rPr>
        <w:t>维保服务</w:t>
      </w:r>
      <w:r>
        <w:rPr>
          <w:rFonts w:hint="eastAsia" w:asciiTheme="minorEastAsia" w:hAnsiTheme="minorEastAsia"/>
          <w:sz w:val="24"/>
          <w:szCs w:val="24"/>
          <w:lang w:val="en-US" w:eastAsia="zh-CN"/>
        </w:rPr>
        <w:t>及其现场安装部署实施服务，数据同步链路数量不得低于100条</w:t>
      </w:r>
      <w:r>
        <w:rPr>
          <w:rFonts w:hint="eastAsia" w:asciiTheme="minorEastAsia" w:hAnsiTheme="minorEastAsia"/>
          <w:sz w:val="24"/>
          <w:szCs w:val="24"/>
          <w:lang w:eastAsia="zh-CN"/>
        </w:rPr>
        <w:t>。</w:t>
      </w:r>
      <w:r>
        <w:rPr>
          <w:rFonts w:hint="eastAsia" w:asciiTheme="minorEastAsia" w:hAnsiTheme="minorEastAsia"/>
          <w:sz w:val="24"/>
          <w:szCs w:val="24"/>
        </w:rPr>
        <w:t>交付方式为纯软件，要求软件成熟可靠，</w:t>
      </w:r>
      <w:r>
        <w:rPr>
          <w:rFonts w:hint="eastAsia" w:asciiTheme="minorEastAsia" w:hAnsiTheme="minorEastAsia"/>
          <w:sz w:val="24"/>
          <w:szCs w:val="24"/>
          <w:lang w:val="en-US" w:eastAsia="zh-CN"/>
        </w:rPr>
        <w:t>且为</w:t>
      </w:r>
      <w:r>
        <w:rPr>
          <w:rFonts w:hint="eastAsia" w:ascii="宋体" w:hAnsi="宋体" w:eastAsia="宋体" w:cs="宋体"/>
          <w:kern w:val="0"/>
          <w:sz w:val="24"/>
          <w:szCs w:val="24"/>
          <w:lang w:val="en-US" w:eastAsia="zh-CN" w:bidi="ar"/>
        </w:rPr>
        <w:t>公司自主研发的全栈信创产品，</w:t>
      </w:r>
      <w:r>
        <w:rPr>
          <w:rFonts w:hint="eastAsia" w:asciiTheme="minorEastAsia" w:hAnsiTheme="minorEastAsia"/>
          <w:sz w:val="24"/>
          <w:szCs w:val="24"/>
        </w:rPr>
        <w:t>满足</w:t>
      </w:r>
      <w:r>
        <w:rPr>
          <w:rFonts w:hint="eastAsia" w:asciiTheme="minorEastAsia" w:hAnsiTheme="minorEastAsia"/>
          <w:sz w:val="24"/>
          <w:szCs w:val="24"/>
          <w:lang w:val="en-US" w:eastAsia="zh-CN"/>
        </w:rPr>
        <w:t>高可用集群或</w:t>
      </w:r>
      <w:r>
        <w:rPr>
          <w:rFonts w:hint="eastAsia" w:asciiTheme="minorEastAsia" w:hAnsiTheme="minorEastAsia"/>
          <w:sz w:val="24"/>
          <w:szCs w:val="24"/>
        </w:rPr>
        <w:t>分布式部署</w:t>
      </w:r>
      <w:r>
        <w:rPr>
          <w:rFonts w:hint="eastAsia" w:asciiTheme="minorEastAsia" w:hAnsiTheme="minorEastAsia"/>
          <w:sz w:val="24"/>
          <w:szCs w:val="24"/>
          <w:lang w:val="en-US" w:eastAsia="zh-CN"/>
        </w:rPr>
        <w:t>和</w:t>
      </w:r>
      <w:r>
        <w:rPr>
          <w:rFonts w:hint="eastAsia" w:asciiTheme="minorEastAsia" w:hAnsiTheme="minorEastAsia"/>
          <w:sz w:val="24"/>
          <w:szCs w:val="24"/>
        </w:rPr>
        <w:t>集中式管理要求，可同时部署于生产和灾备中心，数据中心之间</w:t>
      </w:r>
      <w:r>
        <w:rPr>
          <w:rFonts w:hint="eastAsia" w:asciiTheme="minorEastAsia" w:hAnsiTheme="minorEastAsia"/>
          <w:sz w:val="24"/>
          <w:szCs w:val="24"/>
          <w:lang w:val="en-US" w:eastAsia="zh-CN"/>
        </w:rPr>
        <w:t>的状态和配置信息</w:t>
      </w:r>
      <w:r>
        <w:rPr>
          <w:rFonts w:hint="eastAsia" w:asciiTheme="minorEastAsia" w:hAnsiTheme="minorEastAsia"/>
          <w:sz w:val="24"/>
          <w:szCs w:val="24"/>
        </w:rPr>
        <w:t>可自动同步</w:t>
      </w:r>
      <w:r>
        <w:rPr>
          <w:rFonts w:hint="eastAsia" w:asciiTheme="minorEastAsia" w:hAnsiTheme="minorEastAsia"/>
          <w:sz w:val="24"/>
          <w:szCs w:val="24"/>
          <w:lang w:eastAsia="zh-CN"/>
        </w:rPr>
        <w:t>，</w:t>
      </w:r>
      <w:r>
        <w:rPr>
          <w:rFonts w:hint="eastAsia" w:asciiTheme="minorEastAsia" w:hAnsiTheme="minorEastAsia"/>
          <w:sz w:val="24"/>
          <w:szCs w:val="24"/>
          <w:lang w:val="en-US" w:eastAsia="zh-CN"/>
        </w:rPr>
        <w:t>软件自身</w:t>
      </w:r>
      <w:r>
        <w:rPr>
          <w:rFonts w:hint="eastAsia" w:asciiTheme="minorEastAsia" w:hAnsiTheme="minorEastAsia"/>
          <w:sz w:val="24"/>
          <w:szCs w:val="24"/>
        </w:rPr>
        <w:t>需具备高可用性，主节点无法提供服务时，</w:t>
      </w:r>
      <w:r>
        <w:rPr>
          <w:rFonts w:hint="eastAsia" w:asciiTheme="minorEastAsia" w:hAnsiTheme="minorEastAsia"/>
          <w:sz w:val="24"/>
          <w:szCs w:val="24"/>
          <w:lang w:val="en-US" w:eastAsia="zh-CN"/>
        </w:rPr>
        <w:t>可</w:t>
      </w:r>
      <w:r>
        <w:rPr>
          <w:rFonts w:hint="eastAsia" w:asciiTheme="minorEastAsia" w:hAnsiTheme="minorEastAsia"/>
          <w:sz w:val="24"/>
          <w:szCs w:val="24"/>
        </w:rPr>
        <w:t>切换到其它节点，不影响业务连续性。</w:t>
      </w:r>
    </w:p>
    <w:p>
      <w:pPr>
        <w:keepNext w:val="0"/>
        <w:keepLines w:val="0"/>
        <w:widowControl/>
        <w:numPr>
          <w:ilvl w:val="0"/>
          <w:numId w:val="3"/>
        </w:numPr>
        <w:suppressLineNumbers w:val="0"/>
        <w:spacing w:before="0" w:beforeAutospacing="0" w:after="0" w:afterAutospacing="0" w:line="440" w:lineRule="exact"/>
        <w:ind w:left="0" w:right="0" w:firstLine="482" w:firstLineChars="200"/>
        <w:jc w:val="left"/>
        <w:outlineLvl w:val="1"/>
        <w:rPr>
          <w:rFonts w:hint="default"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技术需求</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lang w:val="en-US" w:eastAsia="zh-CN"/>
        </w:rPr>
        <w:t>本次</w:t>
      </w:r>
      <w:r>
        <w:rPr>
          <w:rFonts w:hint="eastAsia" w:asciiTheme="minorEastAsia" w:hAnsiTheme="minorEastAsia"/>
          <w:sz w:val="24"/>
          <w:szCs w:val="24"/>
        </w:rPr>
        <w:t>采购</w:t>
      </w:r>
      <w:r>
        <w:rPr>
          <w:rFonts w:asciiTheme="minorEastAsia" w:hAnsiTheme="minorEastAsia"/>
          <w:sz w:val="24"/>
          <w:szCs w:val="24"/>
        </w:rPr>
        <w:t>的</w:t>
      </w:r>
      <w:r>
        <w:rPr>
          <w:rFonts w:hint="eastAsia" w:asciiTheme="minorEastAsia" w:hAnsiTheme="minorEastAsia"/>
          <w:sz w:val="24"/>
          <w:szCs w:val="24"/>
          <w:lang w:val="en-US" w:eastAsia="zh-CN"/>
        </w:rPr>
        <w:t>国产CDC同步软件主要</w:t>
      </w:r>
      <w:r>
        <w:rPr>
          <w:rFonts w:hint="eastAsia" w:asciiTheme="minorEastAsia" w:hAnsiTheme="minorEastAsia"/>
          <w:sz w:val="24"/>
          <w:szCs w:val="24"/>
        </w:rPr>
        <w:t>需求</w:t>
      </w:r>
      <w:r>
        <w:rPr>
          <w:rFonts w:hint="eastAsia" w:asciiTheme="minorEastAsia" w:hAnsiTheme="minorEastAsia"/>
          <w:sz w:val="24"/>
          <w:szCs w:val="24"/>
          <w:lang w:val="en-US" w:eastAsia="zh-CN"/>
        </w:rPr>
        <w:t>如下</w:t>
      </w:r>
      <w:r>
        <w:rPr>
          <w:rFonts w:asciiTheme="minorEastAsia" w:hAnsiTheme="minorEastAsia"/>
          <w:sz w:val="24"/>
          <w:szCs w:val="24"/>
        </w:rPr>
        <w:t xml:space="preserve">： </w:t>
      </w:r>
    </w:p>
    <w:p>
      <w:pPr>
        <w:pStyle w:val="46"/>
        <w:numPr>
          <w:ilvl w:val="0"/>
          <w:numId w:val="0"/>
        </w:numPr>
        <w:spacing w:line="360" w:lineRule="auto"/>
        <w:ind w:left="420" w:leftChars="0"/>
        <w:rPr>
          <w:rFonts w:hint="eastAsia" w:asciiTheme="minorEastAsia" w:hAnsiTheme="minorEastAsia" w:eastAsiaTheme="minorEastAsia" w:cstheme="minorEastAsia"/>
          <w:sz w:val="24"/>
          <w:szCs w:val="24"/>
        </w:rPr>
      </w:pPr>
      <w:r>
        <w:rPr>
          <w:rFonts w:hint="eastAsia" w:asciiTheme="minorEastAsia" w:hAnsiTheme="minorEastAsia" w:cstheme="minorEastAsia"/>
          <w:i w:val="0"/>
          <w:iCs w:val="0"/>
          <w:color w:val="000000"/>
          <w:sz w:val="24"/>
          <w:szCs w:val="24"/>
          <w:u w:val="none"/>
          <w:lang w:eastAsia="zh-CN"/>
        </w:rPr>
        <w:t>（</w:t>
      </w:r>
      <w:r>
        <w:rPr>
          <w:rFonts w:hint="eastAsia" w:asciiTheme="minorEastAsia" w:hAnsiTheme="minorEastAsia" w:cstheme="minorEastAsia"/>
          <w:i w:val="0"/>
          <w:iCs w:val="0"/>
          <w:color w:val="000000"/>
          <w:sz w:val="24"/>
          <w:szCs w:val="24"/>
          <w:u w:val="none"/>
          <w:lang w:val="en-US" w:eastAsia="zh-CN"/>
        </w:rPr>
        <w:t>一）</w:t>
      </w:r>
      <w:r>
        <w:rPr>
          <w:rFonts w:hint="eastAsia" w:asciiTheme="minorEastAsia" w:hAnsiTheme="minorEastAsia" w:eastAsiaTheme="minorEastAsia" w:cstheme="minorEastAsia"/>
          <w:i w:val="0"/>
          <w:iCs w:val="0"/>
          <w:color w:val="000000"/>
          <w:sz w:val="24"/>
          <w:szCs w:val="24"/>
          <w:u w:val="none"/>
        </w:rPr>
        <w:t>数据同步能力</w:t>
      </w:r>
      <w:r>
        <w:rPr>
          <w:rFonts w:hint="eastAsia" w:asciiTheme="minorEastAsia" w:hAnsiTheme="minorEastAsia" w:eastAsiaTheme="minorEastAsia" w:cstheme="minorEastAsia"/>
          <w:i w:val="0"/>
          <w:iCs w:val="0"/>
          <w:color w:val="000000"/>
          <w:sz w:val="24"/>
          <w:szCs w:val="24"/>
          <w:u w:val="none"/>
          <w:lang w:eastAsia="zh-CN"/>
        </w:rPr>
        <w:t>：</w:t>
      </w:r>
      <w:r>
        <w:rPr>
          <w:rFonts w:hint="eastAsia" w:asciiTheme="minorEastAsia" w:hAnsiTheme="minorEastAsia" w:eastAsiaTheme="minorEastAsia" w:cstheme="minorEastAsia"/>
          <w:sz w:val="24"/>
          <w:szCs w:val="24"/>
        </w:rPr>
        <w:t xml:space="preserve"> </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1.支持日志级（Binlog/Redo/归档等）同步，零侵入/低侵入，不锁表、不影响业务性能；</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2.支持全量与实时增量同步，支持同构及异构同步，支持常见数据库到kafka的同步；</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3.支持单向、双向、多对一、一对多、级联同步等；</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4.支持多源同步，可提供多源DDL同步解决方案，满足数据汇聚需求；</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5.支持整库、Schema、表、字段、行过滤级捕获，支持自定义输出格式及黑白名单；</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6.支持异构跨库、跨版本、跨字符集同步，自动类型映射与兼容；</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7.支持字段映射、别名、脱敏、加密、拆分合并、表达式转换。</w:t>
      </w:r>
    </w:p>
    <w:p>
      <w:pPr>
        <w:pStyle w:val="46"/>
        <w:numPr>
          <w:ilvl w:val="0"/>
          <w:numId w:val="0"/>
        </w:numPr>
        <w:spacing w:line="360" w:lineRule="auto"/>
        <w:ind w:left="420" w:leftChars="0"/>
        <w:rPr>
          <w:rFonts w:hint="eastAsia" w:asciiTheme="minorEastAsia" w:hAnsiTheme="minorEastAsia" w:eastAsiaTheme="minorEastAsia" w:cstheme="minorEastAsia"/>
          <w:sz w:val="24"/>
          <w:szCs w:val="24"/>
        </w:rPr>
      </w:pPr>
      <w:r>
        <w:rPr>
          <w:rFonts w:hint="eastAsia" w:asciiTheme="minorEastAsia" w:hAnsiTheme="minorEastAsia" w:cstheme="minorEastAsia"/>
          <w:i w:val="0"/>
          <w:iCs w:val="0"/>
          <w:color w:val="000000"/>
          <w:kern w:val="0"/>
          <w:sz w:val="24"/>
          <w:szCs w:val="24"/>
          <w:u w:val="none"/>
          <w:lang w:val="en-US" w:eastAsia="zh-CN" w:bidi="ar"/>
        </w:rPr>
        <w:t>（二）</w:t>
      </w:r>
      <w:r>
        <w:rPr>
          <w:rFonts w:hint="eastAsia" w:asciiTheme="minorEastAsia" w:hAnsiTheme="minorEastAsia" w:eastAsiaTheme="minorEastAsia" w:cstheme="minorEastAsia"/>
          <w:i w:val="0"/>
          <w:iCs w:val="0"/>
          <w:color w:val="000000"/>
          <w:kern w:val="0"/>
          <w:sz w:val="24"/>
          <w:szCs w:val="24"/>
          <w:u w:val="none"/>
          <w:lang w:val="en-US" w:eastAsia="zh-CN" w:bidi="ar"/>
        </w:rPr>
        <w:t>兼容适配</w:t>
      </w:r>
      <w:r>
        <w:rPr>
          <w:rFonts w:hint="eastAsia" w:asciiTheme="minorEastAsia" w:hAnsiTheme="minorEastAsia" w:cstheme="minorEastAsia"/>
          <w:i w:val="0"/>
          <w:iCs w:val="0"/>
          <w:color w:val="000000"/>
          <w:kern w:val="0"/>
          <w:sz w:val="24"/>
          <w:szCs w:val="24"/>
          <w:u w:val="none"/>
          <w:lang w:val="en-US" w:eastAsia="zh-CN" w:bidi="ar"/>
        </w:rPr>
        <w:t>能力</w:t>
      </w:r>
      <w:r>
        <w:rPr>
          <w:rFonts w:hint="eastAsia" w:asciiTheme="minorEastAsia" w:hAnsiTheme="minorEastAsia" w:eastAsiaTheme="minorEastAsia" w:cstheme="minorEastAsia"/>
          <w:i w:val="0"/>
          <w:iCs w:val="0"/>
          <w:color w:val="000000"/>
          <w:kern w:val="0"/>
          <w:sz w:val="24"/>
          <w:szCs w:val="24"/>
          <w:u w:val="none"/>
          <w:lang w:val="en-US" w:eastAsia="zh-CN" w:bidi="ar"/>
        </w:rPr>
        <w:t>：</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1.源端支持TDSQL、OceanBase、Oracle、MySQL、PostgreSQL等主流数据库；</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2.目标端除支持主流上述列示的源端数据库类型外，还需要支持阿里ADB和消息队列(Kafka)等；</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3.支持主流国产操作系统（麒麟、统信、欧拉等）；</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4.支持鲲鹏、海光、X86等主流架构。</w:t>
      </w:r>
    </w:p>
    <w:p>
      <w:pPr>
        <w:pStyle w:val="46"/>
        <w:numPr>
          <w:ilvl w:val="0"/>
          <w:numId w:val="0"/>
        </w:numPr>
        <w:spacing w:line="360" w:lineRule="auto"/>
        <w:ind w:left="420" w:leftChars="0"/>
        <w:rPr>
          <w:rFonts w:hint="eastAsia" w:asciiTheme="minorEastAsia" w:hAnsiTheme="minorEastAsia" w:eastAsiaTheme="minorEastAsia" w:cstheme="minorEastAsia"/>
          <w:sz w:val="24"/>
          <w:szCs w:val="24"/>
        </w:rPr>
      </w:pPr>
      <w:r>
        <w:rPr>
          <w:rFonts w:hint="eastAsia" w:asciiTheme="minorEastAsia" w:hAnsiTheme="minorEastAsia" w:cstheme="minorEastAsia"/>
          <w:i w:val="0"/>
          <w:iCs w:val="0"/>
          <w:color w:val="000000"/>
          <w:kern w:val="0"/>
          <w:sz w:val="24"/>
          <w:szCs w:val="24"/>
          <w:u w:val="none"/>
          <w:lang w:val="en-US" w:eastAsia="zh-CN" w:bidi="ar"/>
        </w:rPr>
        <w:t>（三）</w:t>
      </w:r>
      <w:r>
        <w:rPr>
          <w:rFonts w:hint="eastAsia" w:asciiTheme="minorEastAsia" w:hAnsiTheme="minorEastAsia" w:eastAsiaTheme="minorEastAsia" w:cstheme="minorEastAsia"/>
          <w:i w:val="0"/>
          <w:iCs w:val="0"/>
          <w:color w:val="000000"/>
          <w:kern w:val="0"/>
          <w:sz w:val="24"/>
          <w:szCs w:val="24"/>
          <w:u w:val="none"/>
          <w:lang w:val="en-US" w:eastAsia="zh-CN" w:bidi="ar"/>
        </w:rPr>
        <w:t>安全</w:t>
      </w:r>
      <w:r>
        <w:rPr>
          <w:rFonts w:hint="eastAsia" w:asciiTheme="minorEastAsia" w:hAnsiTheme="minorEastAsia" w:cstheme="minorEastAsia"/>
          <w:i w:val="0"/>
          <w:iCs w:val="0"/>
          <w:color w:val="000000"/>
          <w:kern w:val="0"/>
          <w:sz w:val="24"/>
          <w:szCs w:val="24"/>
          <w:u w:val="none"/>
          <w:lang w:val="en-US" w:eastAsia="zh-CN" w:bidi="ar"/>
        </w:rPr>
        <w:t>可用</w:t>
      </w:r>
      <w:r>
        <w:rPr>
          <w:rFonts w:hint="eastAsia" w:asciiTheme="minorEastAsia" w:hAnsiTheme="minorEastAsia" w:eastAsiaTheme="minorEastAsia" w:cstheme="minorEastAsia"/>
          <w:i w:val="0"/>
          <w:iCs w:val="0"/>
          <w:color w:val="000000"/>
          <w:kern w:val="0"/>
          <w:sz w:val="24"/>
          <w:szCs w:val="24"/>
          <w:u w:val="none"/>
          <w:lang w:val="en-US" w:eastAsia="zh-CN" w:bidi="ar"/>
        </w:rPr>
        <w:t>性：</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1.支持断点续传、</w:t>
      </w:r>
      <w:r>
        <w:rPr>
          <w:rFonts w:hint="eastAsia" w:asciiTheme="minorEastAsia" w:hAnsiTheme="minorEastAsia"/>
          <w:sz w:val="24"/>
          <w:szCs w:val="24"/>
        </w:rPr>
        <w:t>故障自动恢复</w:t>
      </w:r>
      <w:r>
        <w:rPr>
          <w:rFonts w:hint="eastAsia" w:asciiTheme="minorEastAsia" w:hAnsiTheme="minorEastAsia"/>
          <w:sz w:val="24"/>
          <w:szCs w:val="24"/>
          <w:lang w:eastAsia="zh-CN"/>
        </w:rPr>
        <w:t>、</w:t>
      </w:r>
      <w:r>
        <w:rPr>
          <w:rFonts w:hint="eastAsia" w:asciiTheme="minorEastAsia" w:hAnsiTheme="minorEastAsia"/>
          <w:sz w:val="24"/>
          <w:szCs w:val="24"/>
          <w:lang w:val="en-US" w:eastAsia="zh-CN"/>
        </w:rPr>
        <w:t>异常自动重试、位点持久化，确保数据不丢不重；</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2.支持事务边界保留，保障目标库数据最终一致性或强一致；</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3.支持高可用集群或分布式部署，不超过半数节点异常可正常提供服务，支持同步节点切换；</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4.支持冲突处理（覆盖/忽略/报错/自定义等）；</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5.支持源端和目标端数据比对，支持差异自动修复；</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6.支持访问控制、操作审计、权限最小化、数据脱敏等安全管理，支持国密算法加密，确保数据传输与存储全程安全可控，可提供操作日志、变更日志、审计日志、错误日志等，满足本地化合规要求。</w:t>
      </w:r>
    </w:p>
    <w:p>
      <w:pPr>
        <w:pStyle w:val="46"/>
        <w:numPr>
          <w:ilvl w:val="0"/>
          <w:numId w:val="0"/>
        </w:numPr>
        <w:spacing w:line="360" w:lineRule="auto"/>
        <w:ind w:left="420" w:leftChars="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（四）</w:t>
      </w:r>
      <w:r>
        <w:rPr>
          <w:rFonts w:hint="eastAsia" w:asciiTheme="minorEastAsia" w:hAnsiTheme="minorEastAsia" w:eastAsiaTheme="minorEastAsia" w:cstheme="minorEastAsia"/>
          <w:sz w:val="24"/>
          <w:szCs w:val="24"/>
          <w:lang w:val="en-US" w:eastAsia="zh-CN"/>
        </w:rPr>
        <w:t>运维管理能力：</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1.提供图形化监控界面，监控界面设计合理，方便查看数据同步及系统运行状态，包括任务状态、任务运行情况（心跳、checkpoint、延迟、统计信息、资源使用情况等），监控指标完善，配置修改方便；</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2.监控数据可对外输出，能够与行内监控系统对接；</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3.数据同步异常、服务异常、节点故障等异常场景能够主动发送告警或者主动向行内监控系统推送告警信息；</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4.提供同步进程启停的API接口，尽量支持行内自动化上线对接；</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5.配置信息支持导入导出，尽量支持通过脚本或者调用API更新配置信息。</w:t>
      </w:r>
    </w:p>
    <w:p>
      <w:pPr>
        <w:pStyle w:val="46"/>
        <w:numPr>
          <w:ilvl w:val="0"/>
          <w:numId w:val="0"/>
        </w:numPr>
        <w:spacing w:line="360" w:lineRule="auto"/>
        <w:ind w:left="420" w:leftChars="0"/>
        <w:rPr>
          <w:rFonts w:hint="eastAsia" w:asciiTheme="minorEastAsia" w:hAnsiTheme="minorEastAsia" w:eastAsiaTheme="minorEastAsia" w:cstheme="minorEastAsia"/>
          <w:sz w:val="24"/>
          <w:szCs w:val="24"/>
        </w:rPr>
      </w:pPr>
      <w:r>
        <w:rPr>
          <w:rFonts w:hint="eastAsia" w:asciiTheme="minorEastAsia" w:hAnsiTheme="minorEastAsia" w:cstheme="minorEastAsia"/>
          <w:i w:val="0"/>
          <w:iCs w:val="0"/>
          <w:color w:val="000000"/>
          <w:sz w:val="24"/>
          <w:szCs w:val="24"/>
          <w:u w:val="none"/>
          <w:lang w:val="en-US" w:eastAsia="zh-CN"/>
        </w:rPr>
        <w:t>（五）软件</w:t>
      </w:r>
      <w:r>
        <w:rPr>
          <w:rFonts w:hint="eastAsia" w:asciiTheme="minorEastAsia" w:hAnsiTheme="minorEastAsia" w:eastAsiaTheme="minorEastAsia" w:cstheme="minorEastAsia"/>
          <w:i w:val="0"/>
          <w:iCs w:val="0"/>
          <w:color w:val="000000"/>
          <w:sz w:val="24"/>
          <w:szCs w:val="24"/>
          <w:u w:val="none"/>
          <w:lang w:val="en-US" w:eastAsia="zh-CN"/>
        </w:rPr>
        <w:t>产品服务能力</w:t>
      </w:r>
      <w:r>
        <w:rPr>
          <w:rFonts w:hint="eastAsia" w:asciiTheme="minorEastAsia" w:hAnsiTheme="minorEastAsia" w:cstheme="minorEastAsia"/>
          <w:i w:val="0"/>
          <w:iCs w:val="0"/>
          <w:color w:val="000000"/>
          <w:sz w:val="24"/>
          <w:szCs w:val="24"/>
          <w:u w:val="none"/>
          <w:lang w:val="en-US" w:eastAsia="zh-CN"/>
        </w:rPr>
        <w:t>：</w:t>
      </w:r>
    </w:p>
    <w:p>
      <w:pPr>
        <w:spacing w:line="360" w:lineRule="auto"/>
        <w:ind w:firstLine="480" w:firstLineChars="200"/>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1.提供本地化部署指导、技术培训和7*24小时应急响应服务，故障响应时间不超过0.5小时，重大问题4小时到场；</w:t>
      </w:r>
    </w:p>
    <w:p>
      <w:pPr>
        <w:spacing w:line="360" w:lineRule="auto"/>
        <w:ind w:firstLine="480" w:firstLineChars="200"/>
        <w:rPr>
          <w:rFonts w:hint="eastAsia" w:cs="宋体" w:asciiTheme="minorEastAsia" w:hAnsiTheme="minorEastAsia"/>
          <w:sz w:val="24"/>
          <w:szCs w:val="24"/>
          <w:lang w:val="en-US"/>
        </w:rPr>
      </w:pPr>
      <w:r>
        <w:rPr>
          <w:rFonts w:hint="eastAsia" w:asciiTheme="minorEastAsia" w:hAnsiTheme="minorEastAsia"/>
          <w:sz w:val="24"/>
          <w:szCs w:val="24"/>
          <w:lang w:val="en-US" w:eastAsia="zh-CN"/>
        </w:rPr>
        <w:t>2.需提供生产、开发、测试环境安装部署及现有系统改造的支持服务，需提供软件厂商免费培训，以确保正式投产后行方开发运维工作可顺利开展</w:t>
      </w:r>
      <w:r>
        <w:rPr>
          <w:rFonts w:hint="eastAsia" w:cs="宋体" w:asciiTheme="minorEastAsia" w:hAnsiTheme="minorEastAsia"/>
          <w:sz w:val="24"/>
          <w:szCs w:val="24"/>
          <w:lang w:val="en-US" w:eastAsia="zh-CN"/>
        </w:rPr>
        <w:t>。</w:t>
      </w:r>
    </w:p>
    <w:p>
      <w:pPr>
        <w:keepNext w:val="0"/>
        <w:keepLines w:val="0"/>
        <w:widowControl/>
        <w:suppressLineNumbers w:val="0"/>
        <w:spacing w:before="0" w:beforeAutospacing="0" w:after="0" w:afterAutospacing="0" w:line="440" w:lineRule="exact"/>
        <w:ind w:left="0" w:right="0" w:firstLine="482" w:firstLineChars="200"/>
        <w:jc w:val="left"/>
        <w:outlineLvl w:val="1"/>
        <w:rPr>
          <w:rFonts w:hint="eastAsia" w:ascii="宋体" w:hAnsi="宋体" w:eastAsia="宋体" w:cs="宋体"/>
          <w:b/>
          <w:bCs/>
          <w:kern w:val="2"/>
          <w:sz w:val="24"/>
          <w:szCs w:val="24"/>
          <w:lang w:val="en-US" w:eastAsia="zh-CN" w:bidi="ar"/>
        </w:rPr>
      </w:pPr>
      <w:r>
        <w:rPr>
          <w:rFonts w:hint="eastAsia" w:ascii="宋体" w:hAnsi="宋体" w:eastAsia="宋体" w:cs="宋体"/>
          <w:b/>
          <w:bCs/>
          <w:kern w:val="2"/>
          <w:sz w:val="24"/>
          <w:szCs w:val="24"/>
          <w:lang w:val="en-US" w:eastAsia="zh-CN" w:bidi="ar"/>
        </w:rPr>
        <w:t>3.供应商资质要求</w:t>
      </w:r>
    </w:p>
    <w:p>
      <w:pPr>
        <w:spacing w:line="360" w:lineRule="auto"/>
        <w:ind w:firstLine="480" w:firstLineChars="200"/>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（1）产品原厂</w:t>
      </w:r>
      <w:r>
        <w:rPr>
          <w:rFonts w:hint="eastAsia" w:asciiTheme="minorEastAsia" w:hAnsiTheme="minorEastAsia"/>
          <w:sz w:val="24"/>
          <w:szCs w:val="24"/>
          <w:lang w:val="en-US" w:eastAsia="zh-CN"/>
        </w:rPr>
        <w:t>须</w:t>
      </w:r>
      <w:r>
        <w:rPr>
          <w:rFonts w:hint="eastAsia" w:ascii="宋体" w:hAnsi="宋体" w:eastAsia="宋体" w:cs="宋体"/>
          <w:kern w:val="0"/>
          <w:sz w:val="24"/>
          <w:szCs w:val="24"/>
          <w:lang w:val="en-US" w:eastAsia="zh-CN" w:bidi="ar"/>
        </w:rPr>
        <w:t>成立3年及以上，</w:t>
      </w:r>
      <w:r>
        <w:rPr>
          <w:rFonts w:hint="eastAsia" w:ascii="Times New Roman" w:hAnsi="Times New Roman"/>
          <w:sz w:val="24"/>
          <w:lang w:val="en-US" w:eastAsia="zh-CN"/>
        </w:rPr>
        <w:t>近三年财务稳健，可稳定提供服务，</w:t>
      </w:r>
      <w:r>
        <w:rPr>
          <w:rFonts w:hint="eastAsia" w:ascii="宋体" w:hAnsi="宋体" w:eastAsia="宋体" w:cs="宋体"/>
          <w:kern w:val="0"/>
          <w:sz w:val="24"/>
          <w:szCs w:val="24"/>
          <w:lang w:val="en-US" w:eastAsia="zh-CN" w:bidi="ar"/>
        </w:rPr>
        <w:t>不存在被监管机构禁止或审慎发展的情形，未处于限制开展生产经营活动、责令停产停业、责令关闭、限制从业等重大行政处罚期内。</w:t>
      </w:r>
    </w:p>
    <w:p>
      <w:pPr>
        <w:keepNext w:val="0"/>
        <w:keepLines w:val="0"/>
        <w:widowControl/>
        <w:spacing w:line="440" w:lineRule="exact"/>
        <w:ind w:left="6" w:firstLine="480" w:firstLineChars="200"/>
        <w:jc w:val="left"/>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（2）近三年（2023年1月1日至今，以合同签订时间为准）至少具有1</w:t>
      </w:r>
      <w:bookmarkStart w:id="0" w:name="_GoBack"/>
      <w:bookmarkEnd w:id="0"/>
      <w:r>
        <w:rPr>
          <w:rFonts w:hint="eastAsia" w:ascii="宋体" w:hAnsi="宋体" w:eastAsia="宋体" w:cs="宋体"/>
          <w:kern w:val="0"/>
          <w:sz w:val="24"/>
          <w:szCs w:val="24"/>
          <w:lang w:val="en-US" w:eastAsia="zh-CN" w:bidi="ar"/>
        </w:rPr>
        <w:t>个国内资产规模超过3000亿元人民币（截至2025年12月）的银行业</w:t>
      </w:r>
      <w:r>
        <w:rPr>
          <w:rFonts w:hint="eastAsia" w:ascii="宋体" w:hAnsi="宋体" w:eastAsia="宋体" w:cs="宋体"/>
          <w:kern w:val="2"/>
          <w:sz w:val="24"/>
          <w:szCs w:val="24"/>
          <w:lang w:val="en-US" w:eastAsia="zh-CN" w:bidi="ar"/>
        </w:rPr>
        <w:t>国产CDC数据同步软件</w:t>
      </w:r>
      <w:r>
        <w:rPr>
          <w:rFonts w:hint="eastAsia" w:ascii="宋体" w:hAnsi="宋体" w:eastAsia="宋体" w:cs="宋体"/>
          <w:kern w:val="0"/>
          <w:sz w:val="24"/>
          <w:szCs w:val="24"/>
          <w:lang w:val="en-US" w:eastAsia="zh-CN" w:bidi="ar"/>
        </w:rPr>
        <w:t>项目案例，且是基于软件厂商自主研发的全栈信创软件产品实施（提供合同复印件，合同上须能清晰体现服务内容，合同签订时间及合同双方盖章，不符合上述要求的案例，视为无效案例）。</w:t>
      </w:r>
    </w:p>
    <w:p>
      <w:pPr>
        <w:keepNext w:val="0"/>
        <w:keepLines w:val="0"/>
        <w:widowControl/>
        <w:spacing w:line="440" w:lineRule="exact"/>
        <w:ind w:left="6" w:firstLine="480" w:firstLineChars="200"/>
        <w:jc w:val="left"/>
        <w:outlineLvl w:val="9"/>
        <w:rPr>
          <w:rFonts w:hint="eastAsia" w:ascii="宋体" w:hAnsi="宋体" w:eastAsia="宋体" w:cs="宋体"/>
          <w:b w:val="0"/>
          <w:bCs w:val="0"/>
          <w:sz w:val="24"/>
          <w:lang w:eastAsia="zh-CN"/>
        </w:rPr>
      </w:pPr>
      <w:r>
        <w:rPr>
          <w:rFonts w:hint="eastAsia" w:ascii="宋体" w:hAnsi="宋体" w:eastAsia="宋体" w:cs="宋体"/>
          <w:b w:val="0"/>
          <w:bCs w:val="0"/>
          <w:sz w:val="24"/>
          <w:lang w:val="en-US" w:eastAsia="zh-CN"/>
        </w:rPr>
        <w:t>（3）产品原厂</w:t>
      </w:r>
      <w:r>
        <w:rPr>
          <w:rFonts w:hint="eastAsia" w:ascii="宋体" w:hAnsi="宋体" w:eastAsia="宋体" w:cs="宋体"/>
          <w:b w:val="0"/>
          <w:bCs w:val="0"/>
          <w:sz w:val="24"/>
        </w:rPr>
        <w:t>通过软件能力成熟度CMMI资质认证（</w:t>
      </w:r>
      <w:r>
        <w:rPr>
          <w:rFonts w:hint="eastAsia" w:ascii="宋体" w:hAnsi="宋体" w:eastAsia="宋体" w:cs="宋体"/>
          <w:b w:val="0"/>
          <w:bCs w:val="0"/>
          <w:sz w:val="24"/>
          <w:lang w:val="en-US" w:eastAsia="zh-CN"/>
        </w:rPr>
        <w:t>3</w:t>
      </w:r>
      <w:r>
        <w:rPr>
          <w:rFonts w:hint="eastAsia" w:ascii="宋体" w:hAnsi="宋体" w:eastAsia="宋体" w:cs="宋体"/>
          <w:b w:val="0"/>
          <w:bCs w:val="0"/>
          <w:sz w:val="24"/>
        </w:rPr>
        <w:t>级及以上）</w:t>
      </w:r>
      <w:r>
        <w:rPr>
          <w:rFonts w:hint="eastAsia" w:ascii="宋体" w:hAnsi="宋体" w:eastAsia="宋体" w:cs="宋体"/>
          <w:b w:val="0"/>
          <w:bCs w:val="0"/>
          <w:sz w:val="24"/>
          <w:lang w:eastAsia="zh-CN"/>
        </w:rPr>
        <w:t>。</w:t>
      </w:r>
    </w:p>
    <w:p>
      <w:pPr>
        <w:spacing w:line="360" w:lineRule="auto"/>
        <w:ind w:firstLine="480" w:firstLineChars="200"/>
        <w:rPr>
          <w:rFonts w:hint="eastAsia"/>
          <w:lang w:val="en-US" w:eastAsia="zh-CN"/>
        </w:rPr>
      </w:pPr>
      <w:r>
        <w:rPr>
          <w:rFonts w:hint="eastAsia" w:ascii="宋体" w:hAnsi="宋体" w:eastAsia="宋体" w:cs="宋体"/>
          <w:kern w:val="0"/>
          <w:sz w:val="24"/>
          <w:szCs w:val="24"/>
          <w:lang w:val="en-US" w:eastAsia="zh-CN" w:bidi="ar"/>
        </w:rPr>
        <w:t>（4）如</w:t>
      </w:r>
      <w:r>
        <w:rPr>
          <w:rFonts w:hint="eastAsia" w:asciiTheme="minorEastAsia" w:hAnsiTheme="minorEastAsia"/>
          <w:sz w:val="24"/>
          <w:szCs w:val="24"/>
          <w:lang w:val="en-US" w:eastAsia="zh-CN"/>
        </w:rPr>
        <w:t>代理商参与投标，必须取得产品原厂对该采购项目的唯一授权，且产品原厂不得同时参与投标</w:t>
      </w:r>
      <w:r>
        <w:rPr>
          <w:rFonts w:hint="eastAsia" w:eastAsia="宋体" w:cs="Times New Roman"/>
          <w:i w:val="0"/>
          <w:iCs w:val="0"/>
          <w:caps w:val="0"/>
          <w:color w:val="000000"/>
          <w:spacing w:val="0"/>
          <w:kern w:val="0"/>
          <w:sz w:val="24"/>
          <w:szCs w:val="24"/>
          <w:lang w:val="en-US" w:eastAsia="zh-CN"/>
        </w:rPr>
        <w:t>（适用于代理商投标）</w:t>
      </w:r>
      <w:r>
        <w:rPr>
          <w:rFonts w:hint="eastAsia" w:asciiTheme="minorEastAsia" w:hAnsiTheme="minorEastAsia"/>
          <w:sz w:val="24"/>
          <w:szCs w:val="24"/>
          <w:lang w:val="en-US" w:eastAsia="zh-CN"/>
        </w:rPr>
        <w:t>。</w:t>
      </w:r>
    </w:p>
    <w:p>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val="en-US" w:bidi="ar"/>
        </w:rPr>
      </w:pPr>
      <w:r>
        <w:rPr>
          <w:rFonts w:hint="eastAsia" w:ascii="宋体" w:hAnsi="宋体" w:eastAsia="宋体" w:cs="宋体"/>
          <w:b/>
          <w:bCs/>
          <w:kern w:val="2"/>
          <w:sz w:val="24"/>
          <w:szCs w:val="24"/>
          <w:lang w:val="en-US" w:eastAsia="zh-CN" w:bidi="ar"/>
        </w:rPr>
        <w:t>二、报名要求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20" w:firstLineChars="0"/>
        <w:jc w:val="left"/>
        <w:textAlignment w:val="auto"/>
        <w:outlineLvl w:val="1"/>
        <w:rPr>
          <w:rFonts w:hint="eastAsia" w:ascii="宋体" w:hAnsi="宋体" w:eastAsia="宋体" w:cs="宋体"/>
          <w:b w:val="0"/>
          <w:bCs w:val="0"/>
          <w:kern w:val="2"/>
          <w:sz w:val="24"/>
          <w:szCs w:val="24"/>
          <w:lang w:val="en-US" w:eastAsia="zh-CN" w:bidi="ar"/>
        </w:rPr>
      </w:pPr>
      <w:r>
        <w:rPr>
          <w:rFonts w:hint="eastAsia" w:ascii="宋体" w:hAnsi="宋体" w:eastAsia="宋体" w:cs="宋体"/>
          <w:b w:val="0"/>
          <w:bCs w:val="0"/>
          <w:kern w:val="2"/>
          <w:sz w:val="24"/>
          <w:szCs w:val="24"/>
          <w:lang w:val="en-US" w:eastAsia="zh-CN" w:bidi="ar"/>
        </w:rPr>
        <w:t>1. 为中华人民共和国境内合法注册的独立法人，具有独立承担民事责任的能力，拥有合法有效的工商营业执照，且经营范围包含本次采购需求。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20" w:firstLineChars="0"/>
        <w:jc w:val="left"/>
        <w:textAlignment w:val="auto"/>
        <w:outlineLvl w:val="1"/>
        <w:rPr>
          <w:rFonts w:hint="eastAsia" w:ascii="宋体" w:hAnsi="宋体" w:eastAsia="宋体" w:cs="宋体"/>
          <w:b w:val="0"/>
          <w:bCs w:val="0"/>
          <w:kern w:val="2"/>
          <w:sz w:val="24"/>
          <w:szCs w:val="24"/>
          <w:lang w:val="en-US" w:eastAsia="zh-CN" w:bidi="ar"/>
        </w:rPr>
      </w:pPr>
      <w:r>
        <w:rPr>
          <w:rFonts w:hint="eastAsia" w:ascii="宋体" w:hAnsi="宋体" w:eastAsia="宋体" w:cs="宋体"/>
          <w:b w:val="0"/>
          <w:bCs w:val="0"/>
          <w:kern w:val="2"/>
          <w:sz w:val="24"/>
          <w:szCs w:val="24"/>
          <w:lang w:val="en-US" w:eastAsia="zh-CN" w:bidi="ar"/>
        </w:rPr>
        <w:t>2. 充分理解采购需求并能够根据需求提供相应的服务。</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20" w:firstLineChars="0"/>
        <w:jc w:val="left"/>
        <w:textAlignment w:val="auto"/>
        <w:outlineLvl w:val="1"/>
        <w:rPr>
          <w:rFonts w:hint="eastAsia" w:ascii="宋体" w:hAnsi="宋体" w:eastAsia="宋体" w:cs="宋体"/>
          <w:b w:val="0"/>
          <w:bCs w:val="0"/>
          <w:kern w:val="2"/>
          <w:sz w:val="24"/>
          <w:szCs w:val="24"/>
          <w:lang w:val="en-US" w:eastAsia="zh-CN" w:bidi="ar"/>
        </w:rPr>
      </w:pPr>
      <w:r>
        <w:rPr>
          <w:rFonts w:hint="eastAsia" w:ascii="宋体" w:hAnsi="宋体" w:eastAsia="宋体" w:cs="宋体"/>
          <w:b w:val="0"/>
          <w:bCs w:val="0"/>
          <w:kern w:val="2"/>
          <w:sz w:val="24"/>
          <w:szCs w:val="24"/>
          <w:lang w:val="en-US" w:eastAsia="zh-CN" w:bidi="ar"/>
        </w:rPr>
        <w:t>3. 遵守国家有关法律、法规，具有良好的商业信誉和健全的财务会计制度。</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20" w:firstLineChars="0"/>
        <w:jc w:val="both"/>
        <w:textAlignment w:val="auto"/>
        <w:outlineLvl w:val="1"/>
        <w:rPr>
          <w:rFonts w:hint="default" w:ascii="宋体" w:hAnsi="宋体" w:eastAsia="宋体" w:cs="宋体"/>
          <w:b w:val="0"/>
          <w:bCs w:val="0"/>
          <w:kern w:val="2"/>
          <w:sz w:val="24"/>
          <w:szCs w:val="24"/>
          <w:lang w:val="en-US" w:eastAsia="zh-CN" w:bidi="ar"/>
        </w:rPr>
      </w:pPr>
      <w:r>
        <w:rPr>
          <w:rFonts w:hint="eastAsia" w:ascii="宋体" w:hAnsi="宋体" w:eastAsia="宋体" w:cs="宋体"/>
          <w:b w:val="0"/>
          <w:bCs w:val="0"/>
          <w:kern w:val="2"/>
          <w:sz w:val="24"/>
          <w:szCs w:val="24"/>
          <w:lang w:val="en-US" w:eastAsia="zh-CN" w:bidi="ar"/>
        </w:rPr>
        <w:t>4. 截至征集时间，未被“信用中国”网站（http://www.creditchina.gov.cn）列入失信被执行人、重大税收违法失信主体、政府采购严重违法失信行为记录名单（提供“信用中国”网站查询截图），未被“国家企业信用信息公示系统（</w:t>
      </w:r>
      <w:r>
        <w:rPr>
          <w:rFonts w:hint="eastAsia" w:ascii="宋体" w:hAnsi="宋体" w:eastAsia="宋体" w:cs="宋体"/>
          <w:color w:val="auto"/>
          <w:sz w:val="24"/>
          <w:szCs w:val="24"/>
          <w:highlight w:val="none"/>
          <w:u w:val="none"/>
          <w:lang w:val="en-US" w:eastAsia="zh-CN"/>
        </w:rPr>
        <w:t>https://www.gsxt.gov.cn/index.html</w:t>
      </w:r>
      <w:r>
        <w:rPr>
          <w:rFonts w:hint="eastAsia" w:ascii="宋体" w:hAnsi="宋体" w:eastAsia="宋体" w:cs="宋体"/>
          <w:b w:val="0"/>
          <w:bCs w:val="0"/>
          <w:kern w:val="2"/>
          <w:sz w:val="24"/>
          <w:szCs w:val="24"/>
          <w:lang w:val="en-US" w:eastAsia="zh-CN" w:bidi="ar"/>
        </w:rPr>
        <w:t>）”列入严重违法失信企业名单、经营异常名录（提供“国家企业信用信息公示系统”网站查询截图），不在厦门国际银行供应商黑名单中。</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exact"/>
        <w:ind w:right="0" w:firstLine="420" w:firstLineChars="0"/>
        <w:jc w:val="left"/>
        <w:textAlignment w:val="auto"/>
        <w:outlineLvl w:val="1"/>
        <w:rPr>
          <w:rFonts w:hint="eastAsia" w:ascii="宋体" w:hAnsi="宋体" w:eastAsia="宋体" w:cs="宋体"/>
          <w:b w:val="0"/>
          <w:bCs w:val="0"/>
          <w:kern w:val="2"/>
          <w:sz w:val="24"/>
          <w:szCs w:val="24"/>
          <w:lang w:val="en-US" w:eastAsia="zh-CN" w:bidi="ar"/>
        </w:rPr>
      </w:pPr>
      <w:r>
        <w:rPr>
          <w:rFonts w:hint="eastAsia" w:ascii="宋体" w:hAnsi="宋体" w:eastAsia="宋体" w:cs="宋体"/>
          <w:b w:val="0"/>
          <w:bCs w:val="0"/>
          <w:kern w:val="2"/>
          <w:sz w:val="24"/>
          <w:szCs w:val="24"/>
          <w:lang w:val="en-US" w:eastAsia="zh-CN" w:bidi="ar"/>
        </w:rPr>
        <w:t>5. 经营范围经国家行政管理部门依法批准，同时获得从事行业有效执业证明、行政许可、专业资质等证照。</w:t>
      </w:r>
    </w:p>
    <w:p>
      <w:pPr>
        <w:keepNext w:val="0"/>
        <w:keepLines w:val="0"/>
        <w:widowControl/>
        <w:suppressLineNumbers w:val="0"/>
        <w:spacing w:before="0" w:beforeAutospacing="0" w:after="0" w:afterAutospacing="0" w:line="440" w:lineRule="exact"/>
        <w:ind w:left="0" w:right="0" w:firstLine="480" w:firstLineChars="200"/>
        <w:jc w:val="left"/>
        <w:rPr>
          <w:rFonts w:hint="eastAsia" w:ascii="宋体" w:hAnsi="宋体" w:eastAsia="宋体" w:cs="宋体"/>
          <w:sz w:val="24"/>
        </w:rPr>
      </w:pPr>
      <w:r>
        <w:rPr>
          <w:rFonts w:hint="eastAsia" w:ascii="宋体" w:eastAsia="宋体" w:cs="宋体"/>
          <w:b w:val="0"/>
          <w:bCs w:val="0"/>
          <w:kern w:val="2"/>
          <w:sz w:val="24"/>
          <w:szCs w:val="24"/>
          <w:lang w:val="en-US" w:eastAsia="zh-CN" w:bidi="ar"/>
        </w:rPr>
        <w:t>6. 同一法定代表人的两个及两个以上法人、母公司、全资子公司及其控股公司不得在同一次项目中参加报名。</w:t>
      </w:r>
    </w:p>
    <w:p>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三、征集时间</w:t>
      </w:r>
    </w:p>
    <w:p>
      <w:pPr>
        <w:keepNext w:val="0"/>
        <w:keepLines w:val="0"/>
        <w:widowControl/>
        <w:suppressLineNumbers w:val="0"/>
        <w:spacing w:before="0" w:beforeAutospacing="0" w:after="0" w:afterAutospacing="0" w:line="440" w:lineRule="exact"/>
        <w:ind w:left="0" w:right="0" w:firstLine="600"/>
        <w:jc w:val="left"/>
        <w:rPr>
          <w:rFonts w:hint="eastAsia" w:ascii="宋体" w:hAnsi="宋体" w:eastAsia="宋体" w:cs="宋体"/>
          <w:sz w:val="24"/>
        </w:rPr>
      </w:pPr>
      <w:r>
        <w:rPr>
          <w:rFonts w:hint="eastAsia" w:ascii="宋体" w:hAnsi="宋体" w:eastAsia="宋体" w:cs="宋体"/>
          <w:kern w:val="2"/>
          <w:sz w:val="24"/>
          <w:szCs w:val="24"/>
          <w:lang w:val="en-US" w:eastAsia="zh-CN" w:bidi="ar"/>
        </w:rPr>
        <w:t>本次供应商征集自即日起至2026年6月3日23:59止。</w:t>
      </w:r>
    </w:p>
    <w:p>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四、报名方式</w:t>
      </w:r>
    </w:p>
    <w:p>
      <w:pPr>
        <w:keepNext w:val="0"/>
        <w:keepLines w:val="0"/>
        <w:widowControl w:val="0"/>
        <w:suppressLineNumbers w:val="0"/>
        <w:spacing w:before="0" w:beforeAutospacing="0" w:after="0" w:afterAutospacing="0" w:line="440" w:lineRule="exact"/>
        <w:ind w:left="0" w:right="0" w:firstLine="480" w:firstLineChars="200"/>
        <w:jc w:val="left"/>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供应商征集联系人：白</w:t>
      </w:r>
      <w:r>
        <w:rPr>
          <w:rFonts w:hint="eastAsia" w:ascii="宋体" w:hAnsi="宋体" w:eastAsia="宋体" w:cs="宋体"/>
          <w:kern w:val="2"/>
          <w:sz w:val="24"/>
          <w:szCs w:val="24"/>
          <w:highlight w:val="none"/>
          <w:lang w:val="en-US" w:eastAsia="zh-CN" w:bidi="ar"/>
        </w:rPr>
        <w:t>老师，联系电话：</w:t>
      </w:r>
      <w:r>
        <w:rPr>
          <w:rFonts w:hint="eastAsia" w:ascii="宋体" w:hAnsi="宋体" w:eastAsia="宋体" w:cs="宋体"/>
          <w:sz w:val="24"/>
          <w:highlight w:val="none"/>
          <w:lang w:bidi="ar"/>
        </w:rPr>
        <w:t>0592-2078888-</w:t>
      </w:r>
      <w:r>
        <w:rPr>
          <w:rFonts w:hint="eastAsia" w:ascii="宋体" w:hAnsi="宋体" w:eastAsia="宋体" w:cs="宋体"/>
          <w:sz w:val="24"/>
          <w:highlight w:val="none"/>
          <w:lang w:val="en-US" w:eastAsia="zh-CN" w:bidi="ar"/>
        </w:rPr>
        <w:t>6163</w:t>
      </w:r>
      <w:r>
        <w:rPr>
          <w:rFonts w:hint="eastAsia" w:ascii="宋体" w:hAnsi="宋体" w:eastAsia="宋体"/>
          <w:sz w:val="24"/>
          <w:szCs w:val="24"/>
          <w:highlight w:val="none"/>
          <w:lang w:val="en-US" w:eastAsia="zh-CN"/>
        </w:rPr>
        <w:t>，蔡老师，</w:t>
      </w:r>
      <w:r>
        <w:rPr>
          <w:rFonts w:hint="eastAsia" w:ascii="宋体" w:hAnsi="宋体" w:eastAsia="宋体" w:cs="宋体"/>
          <w:kern w:val="2"/>
          <w:sz w:val="24"/>
          <w:szCs w:val="24"/>
          <w:highlight w:val="none"/>
          <w:lang w:val="en-US" w:eastAsia="zh-CN" w:bidi="ar"/>
        </w:rPr>
        <w:t>联系电话：</w:t>
      </w:r>
      <w:r>
        <w:rPr>
          <w:rFonts w:hint="eastAsia" w:ascii="宋体" w:hAnsi="宋体" w:eastAsia="宋体" w:cs="宋体"/>
          <w:sz w:val="24"/>
          <w:highlight w:val="none"/>
          <w:lang w:bidi="ar"/>
        </w:rPr>
        <w:t>0592-</w:t>
      </w:r>
      <w:r>
        <w:rPr>
          <w:rFonts w:hint="eastAsia" w:ascii="宋体" w:hAnsi="宋体" w:eastAsia="宋体" w:cs="宋体"/>
          <w:i w:val="0"/>
          <w:iCs w:val="0"/>
          <w:caps w:val="0"/>
          <w:color w:val="auto"/>
          <w:spacing w:val="0"/>
          <w:sz w:val="24"/>
          <w:szCs w:val="24"/>
          <w:highlight w:val="none"/>
          <w:lang w:bidi="ar"/>
        </w:rPr>
        <w:t>7010288</w:t>
      </w:r>
      <w:r>
        <w:rPr>
          <w:rFonts w:hint="eastAsia" w:ascii="宋体" w:hAnsi="宋体" w:eastAsia="宋体" w:cs="宋体"/>
          <w:sz w:val="24"/>
          <w:szCs w:val="24"/>
          <w:highlight w:val="none"/>
          <w:lang w:val="en-US" w:eastAsia="zh-CN" w:bidi="ar"/>
        </w:rPr>
        <w:t>-6945</w:t>
      </w:r>
      <w:r>
        <w:rPr>
          <w:rFonts w:hint="eastAsia" w:ascii="宋体" w:hAnsi="宋体" w:eastAsia="宋体"/>
          <w:sz w:val="24"/>
          <w:szCs w:val="24"/>
          <w:highlight w:val="none"/>
          <w:lang w:val="en-US" w:eastAsia="zh-CN"/>
        </w:rPr>
        <w:t>；</w:t>
      </w:r>
    </w:p>
    <w:p>
      <w:pPr>
        <w:keepNext w:val="0"/>
        <w:keepLines w:val="0"/>
        <w:widowControl/>
        <w:suppressLineNumbers w:val="0"/>
        <w:spacing w:before="0" w:beforeAutospacing="0" w:after="0" w:afterAutospacing="0" w:line="440" w:lineRule="exact"/>
        <w:ind w:left="0" w:right="0" w:firstLine="480" w:firstLineChars="200"/>
        <w:jc w:val="both"/>
        <w:rPr>
          <w:rFonts w:hint="eastAsia" w:ascii="宋体" w:hAnsi="宋体" w:eastAsia="宋体" w:cs="宋体"/>
          <w:sz w:val="24"/>
        </w:rPr>
      </w:pPr>
      <w:r>
        <w:rPr>
          <w:rFonts w:hint="eastAsia" w:ascii="宋体" w:hAnsi="宋体" w:eastAsia="宋体" w:cs="宋体"/>
          <w:kern w:val="2"/>
          <w:sz w:val="24"/>
          <w:szCs w:val="24"/>
          <w:lang w:val="en-US" w:eastAsia="zh-CN" w:bidi="ar"/>
        </w:rPr>
        <w:t>若有意向请将供应商资料于征集截止时间前提交至baiys</w:t>
      </w:r>
      <w:r>
        <w:rPr>
          <w:rFonts w:hint="eastAsia" w:ascii="宋体" w:hAnsi="宋体" w:eastAsia="宋体"/>
          <w:sz w:val="24"/>
          <w:szCs w:val="24"/>
          <w:highlight w:val="none"/>
          <w:lang w:val="en-US" w:eastAsia="zh-CN"/>
        </w:rPr>
        <w:t>@xib.com.cn、caikh@xib.com.cn</w:t>
      </w:r>
      <w:r>
        <w:rPr>
          <w:rFonts w:hint="eastAsia" w:ascii="宋体" w:hAnsi="宋体" w:eastAsia="宋体" w:cs="宋体"/>
          <w:kern w:val="2"/>
          <w:sz w:val="24"/>
          <w:szCs w:val="24"/>
          <w:lang w:val="en-US" w:eastAsia="zh-CN" w:bidi="ar"/>
        </w:rPr>
        <w:t>邮箱。</w:t>
      </w:r>
      <w:r>
        <w:rPr>
          <w:rFonts w:ascii="宋体" w:hAnsi="宋体" w:eastAsia="宋体"/>
          <w:b/>
          <w:sz w:val="24"/>
          <w:szCs w:val="24"/>
        </w:rPr>
        <w:t>报名资料以指定邮箱收到为准</w:t>
      </w:r>
      <w:r>
        <w:rPr>
          <w:rFonts w:hint="eastAsia" w:ascii="宋体" w:hAnsi="宋体" w:eastAsia="宋体"/>
          <w:b/>
          <w:sz w:val="24"/>
          <w:szCs w:val="24"/>
        </w:rPr>
        <w:t>，逾期将视为报名不成功</w:t>
      </w:r>
      <w:r>
        <w:rPr>
          <w:rFonts w:ascii="宋体" w:hAnsi="宋体" w:eastAsia="宋体"/>
          <w:b/>
          <w:sz w:val="24"/>
          <w:szCs w:val="24"/>
        </w:rPr>
        <w:t>。</w:t>
      </w:r>
    </w:p>
    <w:p>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五、报名注意事项</w:t>
      </w:r>
    </w:p>
    <w:p>
      <w:pPr>
        <w:keepNext w:val="0"/>
        <w:keepLines w:val="0"/>
        <w:widowControl/>
        <w:suppressLineNumbers w:val="0"/>
        <w:spacing w:before="0" w:beforeAutospacing="0" w:after="0" w:afterAutospacing="0" w:line="440" w:lineRule="exact"/>
        <w:ind w:left="0" w:right="0" w:firstLine="480" w:firstLineChars="200"/>
        <w:jc w:val="left"/>
        <w:rPr>
          <w:rFonts w:hint="eastAsia" w:ascii="宋体" w:hAnsi="宋体" w:eastAsia="宋体" w:cs="宋体"/>
          <w:sz w:val="24"/>
        </w:rPr>
      </w:pPr>
      <w:r>
        <w:rPr>
          <w:rFonts w:hint="eastAsia" w:ascii="宋体" w:hAnsi="宋体" w:eastAsia="宋体" w:cs="宋体"/>
          <w:kern w:val="2"/>
          <w:sz w:val="24"/>
          <w:szCs w:val="24"/>
          <w:lang w:val="en-US" w:eastAsia="zh-CN" w:bidi="ar"/>
        </w:rPr>
        <w:t xml:space="preserve">1. 提交的供应商资料内容包括如下两项： </w:t>
      </w:r>
    </w:p>
    <w:p>
      <w:pPr>
        <w:keepNext w:val="0"/>
        <w:keepLines w:val="0"/>
        <w:widowControl/>
        <w:suppressLineNumbers w:val="0"/>
        <w:spacing w:before="0" w:beforeAutospacing="0" w:after="0" w:afterAutospacing="0" w:line="440" w:lineRule="exact"/>
        <w:ind w:left="0" w:right="0" w:firstLine="480" w:firstLineChars="200"/>
        <w:jc w:val="left"/>
        <w:rPr>
          <w:rFonts w:hint="eastAsia" w:ascii="宋体" w:hAnsi="宋体" w:eastAsia="宋体" w:cs="宋体"/>
          <w:sz w:val="24"/>
        </w:rPr>
      </w:pPr>
      <w:r>
        <w:rPr>
          <w:rFonts w:hint="eastAsia" w:ascii="宋体" w:hAnsi="宋体" w:eastAsia="宋体" w:cs="宋体"/>
          <w:kern w:val="2"/>
          <w:sz w:val="24"/>
          <w:szCs w:val="24"/>
          <w:lang w:val="en-US" w:eastAsia="zh-CN" w:bidi="ar"/>
        </w:rPr>
        <w:t>材料1：《厦门国际银行国产CDC数据同步软件采购项目》供应商征集反馈材料-公司名称（全称）</w:t>
      </w:r>
    </w:p>
    <w:p>
      <w:pPr>
        <w:keepNext w:val="0"/>
        <w:keepLines w:val="0"/>
        <w:widowControl/>
        <w:suppressLineNumbers w:val="0"/>
        <w:spacing w:before="0" w:beforeAutospacing="0" w:after="0" w:afterAutospacing="0" w:line="440" w:lineRule="exact"/>
        <w:ind w:left="0" w:right="0" w:firstLine="480" w:firstLineChars="200"/>
        <w:jc w:val="left"/>
        <w:rPr>
          <w:rFonts w:hint="eastAsia" w:ascii="宋体" w:hAnsi="宋体" w:eastAsia="宋体" w:cs="宋体"/>
          <w:sz w:val="24"/>
        </w:rPr>
      </w:pPr>
      <w:r>
        <w:rPr>
          <w:rFonts w:hint="eastAsia" w:ascii="宋体" w:hAnsi="宋体" w:eastAsia="宋体" w:cs="宋体"/>
          <w:kern w:val="2"/>
          <w:sz w:val="24"/>
          <w:szCs w:val="24"/>
          <w:lang w:val="en-US" w:eastAsia="zh-CN" w:bidi="ar"/>
        </w:rPr>
        <w:t>材料2：</w:t>
      </w:r>
      <w:r>
        <w:rPr>
          <w:rFonts w:hint="eastAsia" w:ascii="宋体" w:hAnsi="宋体" w:eastAsia="宋体" w:cs="宋体"/>
          <w:kern w:val="0"/>
          <w:sz w:val="24"/>
          <w:szCs w:val="24"/>
          <w:lang w:val="en-US" w:eastAsia="zh-CN" w:bidi="ar"/>
        </w:rPr>
        <w:t>承诺函</w:t>
      </w:r>
    </w:p>
    <w:p>
      <w:pPr>
        <w:pStyle w:val="10"/>
        <w:keepNext w:val="0"/>
        <w:keepLines w:val="0"/>
        <w:widowControl/>
        <w:suppressLineNumbers w:val="0"/>
        <w:topLinePunct/>
        <w:spacing w:before="0" w:beforeAutospacing="0" w:after="0" w:afterAutospacing="0" w:line="440" w:lineRule="exact"/>
        <w:ind w:left="0" w:leftChars="0" w:right="0" w:firstLine="480" w:firstLineChars="200"/>
        <w:rPr>
          <w:rFonts w:hint="eastAsia" w:ascii="宋体" w:hAnsi="宋体" w:eastAsia="宋体" w:cs="宋体"/>
        </w:rPr>
      </w:pPr>
      <w:r>
        <w:rPr>
          <w:rFonts w:hint="eastAsia" w:ascii="宋体" w:hAnsi="宋体" w:eastAsia="宋体" w:cs="宋体"/>
          <w:kern w:val="2"/>
          <w:sz w:val="24"/>
          <w:szCs w:val="24"/>
        </w:rPr>
        <w:t>以上</w:t>
      </w:r>
      <w:r>
        <w:rPr>
          <w:rFonts w:hint="eastAsia" w:ascii="宋体" w:hAnsi="宋体" w:eastAsia="宋体" w:cs="宋体"/>
          <w:kern w:val="2"/>
          <w:sz w:val="24"/>
          <w:szCs w:val="24"/>
          <w:lang w:val="en-US" w:eastAsia="zh-CN"/>
        </w:rPr>
        <w:t>两</w:t>
      </w:r>
      <w:r>
        <w:rPr>
          <w:rFonts w:hint="eastAsia" w:ascii="宋体" w:hAnsi="宋体" w:eastAsia="宋体" w:cs="宋体"/>
          <w:kern w:val="2"/>
          <w:sz w:val="24"/>
          <w:szCs w:val="24"/>
        </w:rPr>
        <w:t>项材料填报模板详见附件</w:t>
      </w:r>
      <w:r>
        <w:rPr>
          <w:rFonts w:hint="eastAsia" w:ascii="宋体" w:hAnsi="宋体" w:eastAsia="宋体" w:cs="宋体"/>
          <w:b/>
          <w:bCs/>
          <w:color w:val="FF0000"/>
          <w:sz w:val="24"/>
          <w:szCs w:val="24"/>
          <w:u w:val="none"/>
          <w:lang w:val="en-US" w:eastAsia="zh-CN"/>
        </w:rPr>
        <w:t>模板后填写，勿改动格式，</w:t>
      </w:r>
      <w:r>
        <w:rPr>
          <w:rFonts w:hint="eastAsia" w:ascii="宋体" w:hAnsi="宋体" w:eastAsia="宋体" w:cs="宋体"/>
          <w:b w:val="0"/>
          <w:bCs w:val="0"/>
          <w:color w:val="auto"/>
          <w:sz w:val="24"/>
          <w:szCs w:val="24"/>
          <w:u w:val="none"/>
          <w:lang w:val="en-US" w:eastAsia="zh-CN"/>
        </w:rPr>
        <w:t>并</w:t>
      </w:r>
      <w:r>
        <w:rPr>
          <w:rFonts w:hint="eastAsia" w:ascii="宋体" w:hAnsi="宋体" w:eastAsia="宋体" w:cs="宋体"/>
          <w:sz w:val="24"/>
          <w:szCs w:val="24"/>
        </w:rPr>
        <w:t>加盖公司（单位）公章</w:t>
      </w:r>
      <w:r>
        <w:rPr>
          <w:rFonts w:hint="eastAsia" w:ascii="宋体" w:hAnsi="宋体" w:eastAsia="宋体" w:cs="宋体"/>
          <w:sz w:val="24"/>
          <w:szCs w:val="24"/>
          <w:lang w:eastAsia="zh-CN"/>
        </w:rPr>
        <w:t>（</w:t>
      </w:r>
      <w:r>
        <w:rPr>
          <w:rFonts w:hint="eastAsia" w:ascii="宋体" w:hAnsi="宋体" w:eastAsia="宋体" w:cs="宋体"/>
          <w:b/>
          <w:bCs/>
          <w:sz w:val="24"/>
          <w:szCs w:val="24"/>
          <w:lang w:val="en-US" w:eastAsia="zh-CN"/>
        </w:rPr>
        <w:t>多页的需加盖骑缝章</w:t>
      </w:r>
      <w:r>
        <w:rPr>
          <w:rFonts w:hint="eastAsia" w:ascii="宋体" w:hAnsi="宋体" w:eastAsia="宋体" w:cs="宋体"/>
          <w:sz w:val="24"/>
          <w:szCs w:val="24"/>
          <w:lang w:eastAsia="zh-CN"/>
        </w:rPr>
        <w:t>）</w:t>
      </w:r>
      <w:r>
        <w:rPr>
          <w:rFonts w:hint="eastAsia" w:ascii="宋体" w:hAnsi="宋体" w:eastAsia="宋体" w:cs="宋体"/>
          <w:sz w:val="24"/>
          <w:szCs w:val="24"/>
        </w:rPr>
        <w:t>。</w:t>
      </w:r>
    </w:p>
    <w:p>
      <w:pPr>
        <w:keepNext w:val="0"/>
        <w:keepLines w:val="0"/>
        <w:widowControl/>
        <w:numPr>
          <w:ilvl w:val="0"/>
          <w:numId w:val="4"/>
        </w:numPr>
        <w:suppressLineNumbers w:val="0"/>
        <w:spacing w:before="0" w:beforeAutospacing="0" w:after="0" w:afterAutospacing="0" w:line="440" w:lineRule="exact"/>
        <w:ind w:left="0" w:leftChars="0" w:right="0" w:firstLine="480" w:firstLineChars="200"/>
        <w:jc w:val="lef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提交供应商资料应清晰且完整，大小不超过20M。（提交的邮件附件总大小超过</w:t>
      </w:r>
      <w:r>
        <w:rPr>
          <w:rFonts w:hint="eastAsia" w:ascii="宋体" w:hAnsi="宋体" w:eastAsia="宋体" w:cs="宋体"/>
          <w:b/>
          <w:bCs/>
          <w:kern w:val="2"/>
          <w:sz w:val="24"/>
          <w:szCs w:val="24"/>
          <w:lang w:val="en-US" w:eastAsia="zh-CN" w:bidi="ar"/>
        </w:rPr>
        <w:t>20M</w:t>
      </w:r>
      <w:r>
        <w:rPr>
          <w:rFonts w:hint="eastAsia" w:ascii="宋体" w:hAnsi="宋体" w:eastAsia="宋体" w:cs="宋体"/>
          <w:kern w:val="2"/>
          <w:sz w:val="24"/>
          <w:szCs w:val="24"/>
          <w:lang w:val="en-US" w:eastAsia="zh-CN" w:bidi="ar"/>
        </w:rPr>
        <w:t>自动拦截视为无效应答，附件请勿通过第三方邮箱转存附件，</w:t>
      </w:r>
      <w:r>
        <w:rPr>
          <w:rFonts w:hint="eastAsia" w:ascii="宋体" w:hAnsi="宋体" w:eastAsia="宋体" w:cs="宋体"/>
          <w:b/>
          <w:bCs/>
          <w:kern w:val="2"/>
          <w:sz w:val="24"/>
          <w:szCs w:val="24"/>
          <w:lang w:val="en-US" w:eastAsia="zh-CN" w:bidi="ar"/>
        </w:rPr>
        <w:t>材料1和材料2转为PDF格式发送</w:t>
      </w:r>
      <w:r>
        <w:rPr>
          <w:rFonts w:hint="eastAsia" w:ascii="宋体" w:hAnsi="宋体" w:eastAsia="宋体" w:cs="宋体"/>
          <w:kern w:val="2"/>
          <w:sz w:val="24"/>
          <w:szCs w:val="24"/>
          <w:lang w:val="en-US" w:eastAsia="zh-CN" w:bidi="ar"/>
        </w:rPr>
        <w:t>）</w:t>
      </w:r>
    </w:p>
    <w:p>
      <w:pPr>
        <w:widowControl/>
        <w:numPr>
          <w:ilvl w:val="0"/>
          <w:numId w:val="5"/>
        </w:numPr>
        <w:spacing w:line="440" w:lineRule="exact"/>
        <w:ind w:firstLine="482" w:firstLineChars="200"/>
        <w:jc w:val="both"/>
        <w:rPr>
          <w:rFonts w:hint="eastAsia" w:ascii="宋体" w:hAnsi="宋体" w:eastAsia="宋体"/>
          <w:color w:val="auto"/>
          <w:sz w:val="24"/>
          <w:szCs w:val="24"/>
        </w:rPr>
      </w:pPr>
      <w:r>
        <w:rPr>
          <w:rFonts w:hint="eastAsia" w:ascii="宋体" w:hAnsi="宋体" w:eastAsia="宋体"/>
          <w:b/>
          <w:bCs/>
          <w:sz w:val="24"/>
          <w:szCs w:val="24"/>
        </w:rPr>
        <w:t>非在库供应商请在征集时间内通过厦门国际银行采购门户网站（</w:t>
      </w:r>
      <w:r>
        <w:rPr>
          <w:rFonts w:ascii="宋体" w:hAnsi="宋体" w:eastAsia="宋体"/>
          <w:b/>
          <w:bCs/>
          <w:sz w:val="24"/>
          <w:szCs w:val="24"/>
        </w:rPr>
        <w:t>https://cpms.xib.com.cn/）完成注册，详情请登录门户网站</w:t>
      </w:r>
      <w:r>
        <w:rPr>
          <w:rFonts w:hint="eastAsia" w:ascii="宋体" w:hAnsi="宋体" w:eastAsia="宋体"/>
          <w:b/>
          <w:bCs/>
          <w:sz w:val="24"/>
          <w:szCs w:val="24"/>
        </w:rPr>
        <w:t>查阅《供应商门户操作手册》。</w:t>
      </w:r>
      <w:r>
        <w:rPr>
          <w:rFonts w:hint="eastAsia" w:ascii="宋体" w:hAnsi="宋体" w:eastAsia="宋体"/>
          <w:color w:val="auto"/>
          <w:sz w:val="24"/>
          <w:szCs w:val="24"/>
        </w:rPr>
        <w:t>如已在厦门国际银行供应商库内，无需再次注册。</w:t>
      </w:r>
    </w:p>
    <w:p>
      <w:pPr>
        <w:widowControl/>
        <w:numPr>
          <w:ilvl w:val="0"/>
          <w:numId w:val="6"/>
        </w:numPr>
        <w:spacing w:line="440" w:lineRule="exact"/>
        <w:ind w:firstLine="480" w:firstLineChars="200"/>
        <w:jc w:val="left"/>
        <w:rPr>
          <w:rFonts w:hint="eastAsia" w:ascii="宋体" w:eastAsia="宋体"/>
          <w:color w:val="auto"/>
          <w:sz w:val="24"/>
          <w:szCs w:val="24"/>
          <w:lang w:val="en-US" w:eastAsia="zh-CN"/>
        </w:rPr>
      </w:pPr>
      <w:r>
        <w:rPr>
          <w:rFonts w:hint="eastAsia" w:ascii="宋体" w:eastAsia="宋体"/>
          <w:color w:val="auto"/>
          <w:sz w:val="24"/>
          <w:szCs w:val="24"/>
          <w:lang w:val="en-US" w:eastAsia="zh-CN"/>
        </w:rPr>
        <w:t>参与公开征集的供应商经审查通过后正式进入厦门国际银行供应商信息库，作为厦门国际银行在库供应商，进入厦门国际银行供应商库的供应商方可受邀参加厦门国际银行的采购项目。</w:t>
      </w:r>
    </w:p>
    <w:p>
      <w:pPr>
        <w:widowControl/>
        <w:numPr>
          <w:ilvl w:val="0"/>
          <w:numId w:val="6"/>
        </w:numPr>
        <w:spacing w:line="440" w:lineRule="exact"/>
        <w:ind w:firstLine="480" w:firstLineChars="200"/>
        <w:jc w:val="left"/>
        <w:rPr>
          <w:rFonts w:hint="default" w:ascii="宋体" w:hAnsi="宋体" w:eastAsia="宋体"/>
          <w:sz w:val="24"/>
          <w:szCs w:val="24"/>
          <w:lang w:val="en-US" w:eastAsia="zh-CN"/>
        </w:rPr>
      </w:pPr>
      <w:r>
        <w:rPr>
          <w:rFonts w:hint="eastAsia" w:ascii="宋体" w:hAnsi="宋体" w:eastAsia="宋体"/>
          <w:sz w:val="24"/>
          <w:szCs w:val="24"/>
        </w:rPr>
        <w:t>请按上述要求提供报名材料，报名资料须提供加盖公章的原件扫描件，对于递交资料不全的、资料内容缺失的，或未按要求加盖公章及法人签</w:t>
      </w:r>
      <w:r>
        <w:rPr>
          <w:rFonts w:hint="eastAsia" w:ascii="宋体" w:hAnsi="宋体" w:eastAsia="宋体"/>
          <w:sz w:val="24"/>
          <w:szCs w:val="24"/>
          <w:lang w:val="en-US" w:eastAsia="zh-CN"/>
        </w:rPr>
        <w:t>章</w:t>
      </w:r>
      <w:r>
        <w:rPr>
          <w:rFonts w:hint="eastAsia" w:ascii="宋体" w:hAnsi="宋体" w:eastAsia="宋体"/>
          <w:sz w:val="24"/>
          <w:szCs w:val="24"/>
        </w:rPr>
        <w:t>的原件电子扫描件视为报名资料缺漏，</w:t>
      </w:r>
      <w:r>
        <w:rPr>
          <w:rFonts w:hint="eastAsia" w:ascii="宋体" w:hAnsi="宋体" w:eastAsia="宋体"/>
          <w:sz w:val="24"/>
          <w:szCs w:val="24"/>
          <w:lang w:val="en-US" w:eastAsia="zh-CN"/>
        </w:rPr>
        <w:t>征集</w:t>
      </w:r>
      <w:r>
        <w:rPr>
          <w:rFonts w:hint="eastAsia" w:ascii="宋体" w:hAnsi="宋体" w:eastAsia="宋体"/>
          <w:sz w:val="24"/>
          <w:szCs w:val="24"/>
        </w:rPr>
        <w:t>人将拒绝接受其报名。</w:t>
      </w:r>
    </w:p>
    <w:p>
      <w:pPr>
        <w:keepNext w:val="0"/>
        <w:keepLines w:val="0"/>
        <w:widowControl w:val="0"/>
        <w:suppressLineNumbers w:val="0"/>
        <w:spacing w:before="0" w:beforeAutospacing="0" w:after="0" w:afterAutospacing="0" w:line="440" w:lineRule="exact"/>
        <w:ind w:left="0" w:leftChars="0" w:right="0" w:firstLine="480" w:firstLineChars="200"/>
        <w:jc w:val="left"/>
        <w:rPr>
          <w:rFonts w:hint="eastAsia" w:ascii="宋体" w:hAnsi="宋体" w:eastAsia="宋体" w:cs="宋体"/>
          <w:kern w:val="2"/>
          <w:sz w:val="24"/>
          <w:szCs w:val="24"/>
          <w:lang w:val="en-US" w:eastAsia="zh-CN" w:bidi="ar"/>
        </w:rPr>
      </w:pPr>
    </w:p>
    <w:p>
      <w:pPr>
        <w:keepNext w:val="0"/>
        <w:keepLines w:val="0"/>
        <w:widowControl w:val="0"/>
        <w:suppressLineNumbers w:val="0"/>
        <w:spacing w:before="0" w:beforeAutospacing="0" w:after="0" w:afterAutospacing="0" w:line="440" w:lineRule="exact"/>
        <w:ind w:left="0" w:leftChars="0" w:right="0" w:firstLine="0" w:firstLineChars="0"/>
        <w:jc w:val="left"/>
        <w:rPr>
          <w:rFonts w:hint="eastAsia" w:ascii="宋体" w:hAnsi="宋体" w:eastAsia="宋体" w:cs="宋体"/>
          <w:kern w:val="2"/>
          <w:sz w:val="24"/>
          <w:szCs w:val="24"/>
          <w:lang w:val="en-US" w:eastAsia="zh-CN" w:bidi="ar"/>
        </w:rPr>
      </w:pPr>
      <w:r>
        <w:rPr>
          <w:rFonts w:hint="eastAsia" w:ascii="宋体" w:hAnsi="宋体" w:eastAsia="宋体" w:cs="宋体"/>
          <w:b/>
          <w:bCs/>
          <w:sz w:val="24"/>
          <w:szCs w:val="24"/>
        </w:rPr>
        <w:t>★上述材料</w:t>
      </w:r>
      <w:r>
        <w:rPr>
          <w:rFonts w:hint="eastAsia" w:ascii="宋体" w:hAnsi="宋体" w:eastAsia="宋体" w:cs="宋体"/>
          <w:b/>
          <w:bCs/>
          <w:sz w:val="24"/>
          <w:szCs w:val="24"/>
          <w:lang w:val="en-US" w:eastAsia="zh-CN"/>
        </w:rPr>
        <w:t>内容</w:t>
      </w:r>
      <w:r>
        <w:rPr>
          <w:rFonts w:hint="eastAsia" w:ascii="宋体" w:hAnsi="宋体" w:eastAsia="宋体" w:cs="宋体"/>
          <w:b/>
          <w:bCs/>
          <w:sz w:val="24"/>
          <w:szCs w:val="24"/>
        </w:rPr>
        <w:t>均需</w:t>
      </w:r>
      <w:r>
        <w:rPr>
          <w:rFonts w:hint="eastAsia" w:ascii="宋体" w:hAnsi="宋体" w:eastAsia="宋体" w:cs="宋体"/>
          <w:b/>
          <w:bCs/>
          <w:sz w:val="24"/>
          <w:szCs w:val="24"/>
          <w:highlight w:val="yellow"/>
          <w:lang w:val="en-US" w:eastAsia="zh-CN"/>
        </w:rPr>
        <w:t>清晰显示</w:t>
      </w:r>
      <w:r>
        <w:rPr>
          <w:rFonts w:hint="eastAsia" w:ascii="宋体" w:hAnsi="宋体" w:eastAsia="宋体" w:cs="宋体"/>
          <w:b/>
          <w:bCs/>
          <w:sz w:val="24"/>
          <w:szCs w:val="24"/>
          <w:lang w:val="en-US" w:eastAsia="zh-CN"/>
        </w:rPr>
        <w:t>、</w:t>
      </w:r>
      <w:r>
        <w:rPr>
          <w:rFonts w:hint="eastAsia" w:ascii="宋体" w:hAnsi="宋体" w:eastAsia="宋体" w:cs="宋体"/>
          <w:b/>
          <w:bCs/>
          <w:sz w:val="24"/>
          <w:szCs w:val="24"/>
        </w:rPr>
        <w:t>加盖供应商单位公章且为PDF格式。</w:t>
      </w:r>
      <w:r>
        <w:rPr>
          <w:rFonts w:hint="eastAsia" w:ascii="宋体" w:hAnsi="宋体" w:eastAsia="宋体" w:cs="宋体"/>
          <w:b/>
          <w:bCs/>
          <w:sz w:val="24"/>
          <w:szCs w:val="24"/>
          <w:lang w:val="en-US" w:eastAsia="zh-CN"/>
        </w:rPr>
        <w:t>多页的需加盖骑缝章或每页盖章</w:t>
      </w:r>
      <w:r>
        <w:rPr>
          <w:rFonts w:hint="eastAsia" w:ascii="宋体" w:hAnsi="宋体" w:eastAsia="宋体" w:cs="宋体"/>
          <w:b/>
          <w:bCs/>
          <w:color w:val="FF0000"/>
          <w:sz w:val="24"/>
          <w:szCs w:val="24"/>
          <w:lang w:val="en-US" w:eastAsia="zh-CN"/>
        </w:rPr>
        <w:t>（请使用实体公章后扫描或电子签章规范用印，勿使用抠图、图片合成等方式“用印”）</w:t>
      </w:r>
      <w:r>
        <w:rPr>
          <w:rFonts w:hint="eastAsia" w:ascii="宋体" w:hAnsi="宋体" w:eastAsia="宋体" w:cs="宋体"/>
          <w:b/>
          <w:bCs/>
          <w:sz w:val="24"/>
          <w:szCs w:val="24"/>
          <w:lang w:val="en-US" w:eastAsia="zh-CN"/>
        </w:rPr>
        <w:t>。</w:t>
      </w:r>
    </w:p>
    <w:p>
      <w:pPr>
        <w:keepNext w:val="0"/>
        <w:keepLines w:val="0"/>
        <w:widowControl/>
        <w:numPr>
          <w:ilvl w:val="0"/>
          <w:numId w:val="0"/>
        </w:numPr>
        <w:suppressLineNumbers w:val="0"/>
        <w:spacing w:before="0" w:beforeAutospacing="0" w:after="0" w:afterAutospacing="0" w:line="440" w:lineRule="exact"/>
        <w:ind w:left="567" w:right="0" w:firstLine="53" w:firstLineChars="22"/>
        <w:jc w:val="both"/>
        <w:outlineLvl w:val="0"/>
        <w:rPr>
          <w:rFonts w:hint="eastAsia" w:ascii="宋体" w:hAnsi="宋体" w:eastAsia="宋体" w:cs="宋体"/>
          <w:b/>
          <w:bCs/>
          <w:sz w:val="24"/>
          <w:lang w:bidi="ar"/>
        </w:rPr>
      </w:pPr>
      <w:r>
        <w:rPr>
          <w:rFonts w:hint="eastAsia" w:ascii="宋体" w:hAnsi="宋体" w:eastAsia="宋体" w:cs="宋体"/>
          <w:b/>
          <w:bCs/>
          <w:kern w:val="2"/>
          <w:sz w:val="24"/>
          <w:szCs w:val="24"/>
          <w:lang w:val="en-US" w:eastAsia="zh-CN" w:bidi="ar"/>
        </w:rPr>
        <w:t>六、其他注意事项</w:t>
      </w:r>
    </w:p>
    <w:p>
      <w:pPr>
        <w:keepNext w:val="0"/>
        <w:keepLines w:val="0"/>
        <w:widowControl w:val="0"/>
        <w:suppressLineNumbers w:val="0"/>
        <w:spacing w:before="0" w:beforeAutospacing="0" w:after="0" w:afterAutospacing="0" w:line="440" w:lineRule="exact"/>
        <w:ind w:left="0" w:leftChars="0" w:right="0" w:firstLine="480" w:firstLineChars="200"/>
        <w:jc w:val="left"/>
        <w:rPr>
          <w:rFonts w:hint="eastAsia" w:ascii="宋体" w:hAnsi="宋体" w:eastAsia="宋体" w:cs="宋体"/>
          <w:sz w:val="24"/>
        </w:rPr>
      </w:pPr>
      <w:r>
        <w:rPr>
          <w:rFonts w:hint="eastAsia" w:ascii="宋体" w:hAnsi="宋体" w:eastAsia="宋体" w:cs="宋体"/>
          <w:kern w:val="2"/>
          <w:sz w:val="24"/>
          <w:szCs w:val="24"/>
          <w:lang w:val="en-US" w:eastAsia="zh-CN" w:bidi="ar"/>
        </w:rPr>
        <w:t>1. 能够完全满足我行采购需求、有合作意向、符合资格要求、报名要求的供应商均可报名。</w:t>
      </w:r>
    </w:p>
    <w:p>
      <w:pPr>
        <w:pStyle w:val="5"/>
        <w:spacing w:line="440" w:lineRule="exact"/>
        <w:rPr>
          <w:rFonts w:hint="eastAsia" w:ascii="宋体" w:hAnsi="宋体" w:eastAsia="宋体" w:cs="宋体"/>
          <w:b/>
          <w:bCs/>
          <w:color w:val="FF0000"/>
          <w:kern w:val="2"/>
          <w:sz w:val="24"/>
          <w:szCs w:val="24"/>
          <w:lang w:val="en-US" w:eastAsia="zh-CN" w:bidi="ar"/>
        </w:rPr>
      </w:pPr>
      <w:r>
        <w:rPr>
          <w:rFonts w:hint="eastAsia" w:ascii="宋体" w:hAnsi="宋体" w:eastAsia="宋体" w:cs="宋体"/>
          <w:kern w:val="2"/>
          <w:sz w:val="24"/>
          <w:szCs w:val="24"/>
          <w:lang w:val="en-US" w:eastAsia="zh-CN" w:bidi="ar"/>
        </w:rPr>
        <w:t>2.</w:t>
      </w:r>
      <w:r>
        <w:rPr>
          <w:rFonts w:hint="eastAsia" w:ascii="宋体" w:eastAsia="宋体" w:cs="宋体"/>
          <w:kern w:val="2"/>
          <w:sz w:val="24"/>
          <w:szCs w:val="24"/>
          <w:lang w:val="en-US" w:eastAsia="zh-CN" w:bidi="ar"/>
        </w:rPr>
        <w:t xml:space="preserve"> </w:t>
      </w:r>
      <w:r>
        <w:rPr>
          <w:rFonts w:hint="eastAsia" w:ascii="宋体" w:hAnsi="宋体" w:eastAsia="宋体" w:cs="宋体"/>
          <w:b/>
          <w:bCs/>
          <w:color w:val="FF0000"/>
          <w:kern w:val="2"/>
          <w:sz w:val="24"/>
          <w:szCs w:val="24"/>
          <w:lang w:val="en-US" w:eastAsia="zh-CN" w:bidi="ar"/>
        </w:rPr>
        <w:t>征集人接收供应商的报名资料并不表示接受报名供应商参与本项目，征集人有权选定并邀请全部或部分合格供应商参与本项目集中采购活动。</w:t>
      </w:r>
    </w:p>
    <w:p>
      <w:pPr>
        <w:keepNext w:val="0"/>
        <w:keepLines w:val="0"/>
        <w:widowControl w:val="0"/>
        <w:numPr>
          <w:ilvl w:val="-1"/>
          <w:numId w:val="0"/>
        </w:numPr>
        <w:suppressLineNumbers w:val="0"/>
        <w:spacing w:before="0" w:beforeAutospacing="0" w:after="0" w:afterAutospacing="0" w:line="440" w:lineRule="exact"/>
        <w:ind w:left="0" w:leftChars="0" w:right="0" w:firstLine="480" w:firstLineChars="200"/>
        <w:jc w:val="left"/>
        <w:rPr>
          <w:rFonts w:hint="eastAsia" w:ascii="宋体" w:hAnsi="宋体" w:eastAsia="宋体" w:cs="宋体"/>
          <w:kern w:val="2"/>
          <w:sz w:val="24"/>
          <w:szCs w:val="24"/>
          <w:lang w:val="en-US" w:eastAsia="zh-CN" w:bidi="ar"/>
        </w:rPr>
      </w:pPr>
      <w:r>
        <w:rPr>
          <w:rFonts w:hint="eastAsia"/>
          <w:sz w:val="24"/>
          <w:szCs w:val="32"/>
        </w:rPr>
        <w:t>进入邀请名单的供应商将以邮件形式进行通知，非请勿扰。</w:t>
      </w:r>
    </w:p>
    <w:p>
      <w:pPr>
        <w:keepNext w:val="0"/>
        <w:keepLines w:val="0"/>
        <w:widowControl w:val="0"/>
        <w:numPr>
          <w:ilvl w:val="-1"/>
          <w:numId w:val="0"/>
        </w:numPr>
        <w:suppressLineNumbers w:val="0"/>
        <w:spacing w:before="0" w:beforeAutospacing="0" w:after="0" w:afterAutospacing="0" w:line="440" w:lineRule="exact"/>
        <w:ind w:left="0" w:leftChars="0" w:right="0" w:firstLine="480" w:firstLineChars="200"/>
        <w:jc w:val="lef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3. </w:t>
      </w:r>
      <w:r>
        <w:rPr>
          <w:rFonts w:hint="eastAsia" w:ascii="宋体" w:eastAsia="宋体" w:cs="宋体"/>
          <w:kern w:val="2"/>
          <w:sz w:val="24"/>
          <w:szCs w:val="24"/>
          <w:lang w:val="en-US" w:eastAsia="zh-CN" w:bidi="ar"/>
        </w:rPr>
        <w:t>征集人视收到的上述资料不涉及商业秘密，所有供应商报名资料恕不退还。</w:t>
      </w:r>
    </w:p>
    <w:p>
      <w:pPr>
        <w:keepNext w:val="0"/>
        <w:keepLines w:val="0"/>
        <w:widowControl w:val="0"/>
        <w:suppressLineNumbers w:val="0"/>
        <w:spacing w:before="0" w:beforeAutospacing="0" w:after="0" w:afterAutospacing="0" w:line="440" w:lineRule="exact"/>
        <w:ind w:left="0" w:leftChars="0" w:right="0" w:firstLine="480" w:firstLineChars="200"/>
        <w:jc w:val="left"/>
        <w:rPr>
          <w:rFonts w:hint="eastAsia" w:ascii="宋体" w:hAnsi="宋体" w:eastAsia="宋体" w:cs="宋体"/>
          <w:sz w:val="24"/>
        </w:rPr>
      </w:pPr>
      <w:r>
        <w:rPr>
          <w:rFonts w:hint="eastAsia" w:ascii="宋体" w:hAnsi="宋体" w:eastAsia="宋体" w:cs="宋体"/>
          <w:kern w:val="2"/>
          <w:sz w:val="24"/>
          <w:szCs w:val="24"/>
          <w:lang w:val="en-US" w:eastAsia="zh-CN" w:bidi="ar"/>
        </w:rPr>
        <w:t>4. 本次公开征集不收取供应商的任何费用。</w:t>
      </w:r>
    </w:p>
    <w:p>
      <w:pPr>
        <w:keepNext w:val="0"/>
        <w:keepLines w:val="0"/>
        <w:widowControl w:val="0"/>
        <w:suppressLineNumbers w:val="0"/>
        <w:spacing w:before="0" w:beforeAutospacing="0" w:after="0" w:afterAutospacing="0" w:line="440" w:lineRule="exact"/>
        <w:ind w:left="0" w:leftChars="0" w:right="0" w:firstLine="480" w:firstLineChars="200"/>
        <w:jc w:val="lef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 供应商须对报名信息和资料的真实性负责。如提供虚假材料，将取消报名资格并列入我行供应商黑名单。</w:t>
      </w:r>
    </w:p>
    <w:p>
      <w:pPr>
        <w:widowControl w:val="0"/>
        <w:spacing w:line="440" w:lineRule="exact"/>
        <w:ind w:firstLine="480" w:firstLineChars="200"/>
        <w:rPr>
          <w:rFonts w:hint="eastAsia" w:ascii="宋体" w:hAnsi="宋体" w:eastAsia="宋体" w:cs="宋体"/>
        </w:rPr>
      </w:pPr>
      <w:r>
        <w:rPr>
          <w:rFonts w:hint="eastAsia" w:ascii="宋体" w:hAnsi="宋体" w:cs="宋体"/>
          <w:kern w:val="2"/>
          <w:sz w:val="24"/>
          <w:szCs w:val="24"/>
          <w:lang w:val="en-US" w:eastAsia="zh-CN" w:bidi="ar"/>
        </w:rPr>
        <w:t xml:space="preserve">6. </w:t>
      </w:r>
      <w:r>
        <w:rPr>
          <w:rFonts w:hint="eastAsia" w:ascii="宋体" w:hAnsi="宋体" w:eastAsia="宋体" w:cs="宋体"/>
          <w:kern w:val="0"/>
          <w:sz w:val="24"/>
          <w:szCs w:val="24"/>
        </w:rPr>
        <w:t>对于上述事项存在疑问的，请及时与我行联系。</w:t>
      </w:r>
    </w:p>
    <w:p>
      <w:pPr>
        <w:spacing w:line="440" w:lineRule="exact"/>
        <w:ind w:firstLine="480" w:firstLineChars="200"/>
        <w:rPr>
          <w:rFonts w:ascii="宋体" w:hAnsi="宋体" w:eastAsia="宋体"/>
          <w:sz w:val="24"/>
          <w:szCs w:val="24"/>
        </w:rPr>
      </w:pPr>
      <w:r>
        <w:rPr>
          <w:rFonts w:hint="eastAsia" w:ascii="宋体" w:hAnsi="宋体" w:eastAsia="宋体"/>
          <w:sz w:val="24"/>
          <w:szCs w:val="24"/>
        </w:rPr>
        <w:t>特此公告。</w:t>
      </w:r>
    </w:p>
    <w:p>
      <w:pPr>
        <w:spacing w:line="440" w:lineRule="exact"/>
        <w:ind w:firstLine="480" w:firstLineChars="200"/>
        <w:jc w:val="right"/>
        <w:rPr>
          <w:rFonts w:ascii="宋体" w:hAnsi="宋体" w:eastAsia="宋体"/>
          <w:sz w:val="24"/>
          <w:szCs w:val="24"/>
        </w:rPr>
      </w:pPr>
      <w:r>
        <w:rPr>
          <w:rFonts w:hint="eastAsia" w:ascii="宋体" w:hAnsi="宋体" w:eastAsia="宋体"/>
          <w:sz w:val="24"/>
          <w:szCs w:val="24"/>
        </w:rPr>
        <w:t>厦门国际银行股份有限公司</w:t>
      </w:r>
    </w:p>
    <w:p>
      <w:pPr>
        <w:spacing w:line="440" w:lineRule="exact"/>
        <w:ind w:firstLine="480" w:firstLineChars="200"/>
        <w:jc w:val="right"/>
        <w:rPr>
          <w:rFonts w:ascii="宋体" w:hAnsi="宋体" w:eastAsia="宋体"/>
          <w:sz w:val="24"/>
          <w:szCs w:val="24"/>
        </w:rPr>
      </w:pPr>
      <w:r>
        <w:rPr>
          <w:rFonts w:ascii="宋体" w:hAnsi="宋体" w:eastAsia="宋体"/>
          <w:sz w:val="24"/>
          <w:szCs w:val="24"/>
        </w:rPr>
        <w:t>202</w:t>
      </w:r>
      <w:r>
        <w:rPr>
          <w:rFonts w:hint="eastAsia" w:ascii="宋体" w:hAnsi="宋体" w:eastAsia="宋体"/>
          <w:sz w:val="24"/>
          <w:szCs w:val="24"/>
          <w:lang w:val="en-US" w:eastAsia="zh-CN"/>
        </w:rPr>
        <w:t>6</w:t>
      </w:r>
      <w:r>
        <w:rPr>
          <w:rFonts w:ascii="宋体" w:hAnsi="宋体" w:eastAsia="宋体"/>
          <w:sz w:val="24"/>
          <w:szCs w:val="24"/>
        </w:rPr>
        <w:t>年</w:t>
      </w:r>
      <w:r>
        <w:rPr>
          <w:rFonts w:hint="eastAsia" w:ascii="宋体" w:hAnsi="宋体" w:eastAsia="宋体"/>
          <w:sz w:val="24"/>
          <w:szCs w:val="24"/>
          <w:lang w:val="en-US" w:eastAsia="zh-CN"/>
        </w:rPr>
        <w:t>5</w:t>
      </w:r>
      <w:r>
        <w:rPr>
          <w:rFonts w:ascii="宋体" w:hAnsi="宋体" w:eastAsia="宋体"/>
          <w:sz w:val="24"/>
          <w:szCs w:val="24"/>
        </w:rPr>
        <w:t>月</w:t>
      </w:r>
      <w:r>
        <w:rPr>
          <w:rFonts w:hint="eastAsia" w:ascii="宋体" w:hAnsi="宋体" w:eastAsia="宋体"/>
          <w:sz w:val="24"/>
          <w:szCs w:val="24"/>
          <w:lang w:val="en-US" w:eastAsia="zh-CN"/>
        </w:rPr>
        <w:t>27</w:t>
      </w:r>
      <w:r>
        <w:rPr>
          <w:rFonts w:ascii="宋体" w:hAnsi="宋体" w:eastAsia="宋体"/>
          <w:sz w:val="24"/>
          <w:szCs w:val="24"/>
        </w:rPr>
        <w:t>日</w:t>
      </w:r>
    </w:p>
    <w:p>
      <w:pPr>
        <w:spacing w:line="440" w:lineRule="exact"/>
        <w:ind w:firstLine="480" w:firstLineChars="200"/>
        <w:jc w:val="right"/>
        <w:rPr>
          <w:rFonts w:ascii="宋体" w:hAnsi="宋体" w:eastAsia="宋体"/>
          <w:sz w:val="24"/>
          <w:szCs w:val="24"/>
        </w:rPr>
      </w:pPr>
    </w:p>
    <w:p>
      <w:pPr>
        <w:spacing w:line="440" w:lineRule="exact"/>
        <w:rPr>
          <w:rFonts w:hint="eastAsia" w:ascii="宋体" w:hAnsi="宋体" w:eastAsia="宋体" w:cs="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7083D0"/>
    <w:multiLevelType w:val="singleLevel"/>
    <w:tmpl w:val="907083D0"/>
    <w:lvl w:ilvl="0" w:tentative="0">
      <w:start w:val="2"/>
      <w:numFmt w:val="decimal"/>
      <w:lvlText w:val="%1."/>
      <w:lvlJc w:val="left"/>
      <w:pPr>
        <w:tabs>
          <w:tab w:val="left" w:pos="312"/>
        </w:tabs>
      </w:pPr>
    </w:lvl>
  </w:abstractNum>
  <w:abstractNum w:abstractNumId="1">
    <w:nsid w:val="C04CBC6E"/>
    <w:multiLevelType w:val="singleLevel"/>
    <w:tmpl w:val="C04CBC6E"/>
    <w:lvl w:ilvl="0" w:tentative="0">
      <w:start w:val="3"/>
      <w:numFmt w:val="decimal"/>
      <w:lvlText w:val="%1."/>
      <w:lvlJc w:val="left"/>
      <w:pPr>
        <w:tabs>
          <w:tab w:val="left" w:pos="312"/>
        </w:tabs>
      </w:pPr>
    </w:lvl>
  </w:abstractNum>
  <w:abstractNum w:abstractNumId="2">
    <w:nsid w:val="CF15024F"/>
    <w:multiLevelType w:val="singleLevel"/>
    <w:tmpl w:val="CF15024F"/>
    <w:lvl w:ilvl="0" w:tentative="0">
      <w:start w:val="2"/>
      <w:numFmt w:val="decimal"/>
      <w:suff w:val="space"/>
      <w:lvlText w:val="%1."/>
      <w:lvlJc w:val="left"/>
    </w:lvl>
  </w:abstractNum>
  <w:abstractNum w:abstractNumId="3">
    <w:nsid w:val="00000019"/>
    <w:multiLevelType w:val="multilevel"/>
    <w:tmpl w:val="00000019"/>
    <w:lvl w:ilvl="0" w:tentative="0">
      <w:start w:val="1"/>
      <w:numFmt w:val="decimal"/>
      <w:lvlText w:val="%1"/>
      <w:lvlJc w:val="left"/>
      <w:pPr>
        <w:tabs>
          <w:tab w:val="left" w:pos="432"/>
        </w:tabs>
        <w:ind w:left="432" w:hanging="432"/>
      </w:pPr>
      <w:rPr>
        <w:rFonts w:hint="default" w:ascii="Times New Roman" w:hAnsi="Times New Roman" w:eastAsia="宋体"/>
      </w:rPr>
    </w:lvl>
    <w:lvl w:ilvl="1" w:tentative="0">
      <w:start w:val="1"/>
      <w:numFmt w:val="decimal"/>
      <w:lvlText w:val="%1.%2"/>
      <w:lvlJc w:val="left"/>
      <w:pPr>
        <w:tabs>
          <w:tab w:val="left" w:pos="576"/>
        </w:tabs>
        <w:ind w:left="576" w:hanging="576"/>
      </w:pPr>
      <w:rPr>
        <w:rFonts w:hint="default" w:ascii="Times New Roman" w:hAnsi="Times New Roman" w:eastAsia="宋体"/>
      </w:rPr>
    </w:lvl>
    <w:lvl w:ilvl="2" w:tentative="0">
      <w:start w:val="1"/>
      <w:numFmt w:val="decimal"/>
      <w:lvlText w:val="%1.%2.%3"/>
      <w:lvlJc w:val="left"/>
      <w:pPr>
        <w:tabs>
          <w:tab w:val="left" w:pos="720"/>
        </w:tabs>
        <w:ind w:left="720" w:hanging="720"/>
      </w:pPr>
      <w:rPr>
        <w:rFonts w:hint="default" w:ascii="Times New Roman" w:hAnsi="Times New Roman" w:eastAsia="宋体"/>
      </w:rPr>
    </w:lvl>
    <w:lvl w:ilvl="3" w:tentative="0">
      <w:start w:val="1"/>
      <w:numFmt w:val="decimal"/>
      <w:pStyle w:val="23"/>
      <w:lvlText w:val="%1.%2.%3.%4"/>
      <w:lvlJc w:val="left"/>
      <w:pPr>
        <w:tabs>
          <w:tab w:val="left" w:pos="864"/>
        </w:tabs>
        <w:ind w:left="864" w:hanging="864"/>
      </w:pPr>
      <w:rPr>
        <w:rFonts w:hint="default" w:ascii="Times New Roman" w:hAnsi="Times New Roman" w:eastAsia="宋体"/>
      </w:rPr>
    </w:lvl>
    <w:lvl w:ilvl="4" w:tentative="0">
      <w:start w:val="1"/>
      <w:numFmt w:val="decimal"/>
      <w:lvlText w:val="%1.%2.%3.%4.%5"/>
      <w:lvlJc w:val="left"/>
      <w:pPr>
        <w:tabs>
          <w:tab w:val="left" w:pos="1008"/>
        </w:tabs>
        <w:ind w:left="1008" w:hanging="1008"/>
      </w:pPr>
      <w:rPr>
        <w:rFonts w:hint="default" w:ascii="Times New Roman" w:hAnsi="Times New Roman" w:eastAsia="宋体"/>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36C42D9A"/>
    <w:multiLevelType w:val="multilevel"/>
    <w:tmpl w:val="36C42D9A"/>
    <w:lvl w:ilvl="0" w:tentative="0">
      <w:start w:val="1"/>
      <w:numFmt w:val="decimal"/>
      <w:lvlText w:val="%1."/>
      <w:lvlJc w:val="left"/>
      <w:pPr>
        <w:tabs>
          <w:tab w:val="left" w:pos="425"/>
        </w:tabs>
        <w:ind w:left="425" w:hanging="425"/>
      </w:pPr>
      <w:rPr>
        <w:rFonts w:hint="default" w:ascii="Times New Roman" w:hAnsi="Times New Roman" w:eastAsia="黑体"/>
        <w:b/>
        <w:i w:val="0"/>
        <w:sz w:val="36"/>
      </w:rPr>
    </w:lvl>
    <w:lvl w:ilvl="1" w:tentative="0">
      <w:start w:val="1"/>
      <w:numFmt w:val="decimal"/>
      <w:lvlText w:val="%1.%2."/>
      <w:lvlJc w:val="left"/>
      <w:pPr>
        <w:tabs>
          <w:tab w:val="left" w:pos="567"/>
        </w:tabs>
        <w:ind w:left="567" w:hanging="567"/>
      </w:pPr>
      <w:rPr>
        <w:rFonts w:hint="default" w:ascii="Times New Roman" w:hAnsi="Times New Roman" w:eastAsia="黑体"/>
        <w:b/>
        <w:i w:val="0"/>
        <w:sz w:val="30"/>
      </w:rPr>
    </w:lvl>
    <w:lvl w:ilvl="2" w:tentative="0">
      <w:start w:val="1"/>
      <w:numFmt w:val="decimal"/>
      <w:lvlText w:val="%1.%2.%3."/>
      <w:lvlJc w:val="left"/>
      <w:pPr>
        <w:tabs>
          <w:tab w:val="left" w:pos="1135"/>
        </w:tabs>
        <w:ind w:left="1135" w:hanging="709"/>
      </w:pPr>
      <w:rPr>
        <w:rFonts w:hint="eastAsia"/>
      </w:rPr>
    </w:lvl>
    <w:lvl w:ilvl="3" w:tentative="0">
      <w:start w:val="1"/>
      <w:numFmt w:val="decimal"/>
      <w:pStyle w:val="4"/>
      <w:isLgl/>
      <w:lvlText w:val="%1.%2.%3.%4."/>
      <w:lvlJc w:val="left"/>
      <w:pPr>
        <w:tabs>
          <w:tab w:val="left" w:pos="851"/>
        </w:tabs>
        <w:ind w:left="851" w:hanging="851"/>
      </w:pPr>
      <w:rPr>
        <w:rFonts w:hint="default" w:ascii="Times New Roman" w:hAnsi="Times New Roman" w:eastAsia="宋体"/>
        <w:b/>
        <w:i w:val="0"/>
        <w:sz w:val="28"/>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5B777C0F"/>
    <w:multiLevelType w:val="singleLevel"/>
    <w:tmpl w:val="5B777C0F"/>
    <w:lvl w:ilvl="0" w:tentative="0">
      <w:start w:val="4"/>
      <w:numFmt w:val="decimal"/>
      <w:lvlText w:val="%1."/>
      <w:lvlJc w:val="left"/>
      <w:pPr>
        <w:tabs>
          <w:tab w:val="left" w:pos="312"/>
        </w:tabs>
      </w:pPr>
    </w:lvl>
  </w:abstractNum>
  <w:num w:numId="1">
    <w:abstractNumId w:val="4"/>
  </w:num>
  <w:num w:numId="2">
    <w:abstractNumId w:val="3"/>
  </w:num>
  <w:num w:numId="3">
    <w:abstractNumId w:val="2"/>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002AAE"/>
    <w:rsid w:val="00A97848"/>
    <w:rsid w:val="02AF65DD"/>
    <w:rsid w:val="02B62867"/>
    <w:rsid w:val="02E85FFA"/>
    <w:rsid w:val="04A63CC2"/>
    <w:rsid w:val="04F52815"/>
    <w:rsid w:val="05454399"/>
    <w:rsid w:val="063240BA"/>
    <w:rsid w:val="063B53E6"/>
    <w:rsid w:val="06693130"/>
    <w:rsid w:val="069756D0"/>
    <w:rsid w:val="06A9102C"/>
    <w:rsid w:val="07590D47"/>
    <w:rsid w:val="079C5E57"/>
    <w:rsid w:val="07C94BF5"/>
    <w:rsid w:val="07E17FD0"/>
    <w:rsid w:val="080D77A6"/>
    <w:rsid w:val="0899797E"/>
    <w:rsid w:val="089B01BA"/>
    <w:rsid w:val="08C86E11"/>
    <w:rsid w:val="08ED64C0"/>
    <w:rsid w:val="095F5918"/>
    <w:rsid w:val="098A7634"/>
    <w:rsid w:val="09DA77AF"/>
    <w:rsid w:val="0B533BA4"/>
    <w:rsid w:val="0B760C9B"/>
    <w:rsid w:val="0BA43271"/>
    <w:rsid w:val="0C364572"/>
    <w:rsid w:val="0D834F62"/>
    <w:rsid w:val="0DDA1407"/>
    <w:rsid w:val="0E41465C"/>
    <w:rsid w:val="0EC53E4D"/>
    <w:rsid w:val="0F17377C"/>
    <w:rsid w:val="0F9B5667"/>
    <w:rsid w:val="0FE764A2"/>
    <w:rsid w:val="10324220"/>
    <w:rsid w:val="10B43180"/>
    <w:rsid w:val="10D05B8E"/>
    <w:rsid w:val="10D32584"/>
    <w:rsid w:val="10F63F1F"/>
    <w:rsid w:val="133F1DBD"/>
    <w:rsid w:val="13DE2AA7"/>
    <w:rsid w:val="13E47580"/>
    <w:rsid w:val="14724102"/>
    <w:rsid w:val="14B30FF3"/>
    <w:rsid w:val="15294E74"/>
    <w:rsid w:val="156373EE"/>
    <w:rsid w:val="15C22252"/>
    <w:rsid w:val="16531A54"/>
    <w:rsid w:val="166511BF"/>
    <w:rsid w:val="171A6EB7"/>
    <w:rsid w:val="17896D84"/>
    <w:rsid w:val="182D3C4B"/>
    <w:rsid w:val="187111A7"/>
    <w:rsid w:val="190036F5"/>
    <w:rsid w:val="19231FC9"/>
    <w:rsid w:val="19950814"/>
    <w:rsid w:val="19A72036"/>
    <w:rsid w:val="1AA44A44"/>
    <w:rsid w:val="1AF5110C"/>
    <w:rsid w:val="1B4560C7"/>
    <w:rsid w:val="1B4923F9"/>
    <w:rsid w:val="1BA70DEF"/>
    <w:rsid w:val="1BEF3CED"/>
    <w:rsid w:val="1C0627AA"/>
    <w:rsid w:val="1C4B0A11"/>
    <w:rsid w:val="1C546AED"/>
    <w:rsid w:val="1C5674A5"/>
    <w:rsid w:val="1C6A7CE0"/>
    <w:rsid w:val="1D135996"/>
    <w:rsid w:val="1E152E27"/>
    <w:rsid w:val="1E735D4A"/>
    <w:rsid w:val="1EB25197"/>
    <w:rsid w:val="1EF52F02"/>
    <w:rsid w:val="1F2D3CA7"/>
    <w:rsid w:val="1F5D1F7A"/>
    <w:rsid w:val="1F935D6D"/>
    <w:rsid w:val="1FD80A16"/>
    <w:rsid w:val="207009AA"/>
    <w:rsid w:val="20DE6DFD"/>
    <w:rsid w:val="21A63C0D"/>
    <w:rsid w:val="21A64FA0"/>
    <w:rsid w:val="22185A95"/>
    <w:rsid w:val="235C138F"/>
    <w:rsid w:val="235C54BC"/>
    <w:rsid w:val="23E367B8"/>
    <w:rsid w:val="25EB7833"/>
    <w:rsid w:val="274C57DA"/>
    <w:rsid w:val="27FB5F25"/>
    <w:rsid w:val="28C52760"/>
    <w:rsid w:val="2AF2316F"/>
    <w:rsid w:val="2B312BCE"/>
    <w:rsid w:val="2B933EB8"/>
    <w:rsid w:val="2C002AAE"/>
    <w:rsid w:val="2C1724E2"/>
    <w:rsid w:val="2C683F86"/>
    <w:rsid w:val="2D8C3D92"/>
    <w:rsid w:val="2D9F7949"/>
    <w:rsid w:val="2E9E448B"/>
    <w:rsid w:val="2EB72A65"/>
    <w:rsid w:val="2EBD79E4"/>
    <w:rsid w:val="2F7133A5"/>
    <w:rsid w:val="300375D5"/>
    <w:rsid w:val="302915E8"/>
    <w:rsid w:val="306829D2"/>
    <w:rsid w:val="308575AA"/>
    <w:rsid w:val="3097038F"/>
    <w:rsid w:val="31907797"/>
    <w:rsid w:val="31A77477"/>
    <w:rsid w:val="31F95178"/>
    <w:rsid w:val="326B1811"/>
    <w:rsid w:val="329F3E18"/>
    <w:rsid w:val="32F37DA2"/>
    <w:rsid w:val="33442244"/>
    <w:rsid w:val="33470BE8"/>
    <w:rsid w:val="33710B93"/>
    <w:rsid w:val="33BE6305"/>
    <w:rsid w:val="33CA0C61"/>
    <w:rsid w:val="34C70C8A"/>
    <w:rsid w:val="34E255C9"/>
    <w:rsid w:val="352B64A2"/>
    <w:rsid w:val="354C66CC"/>
    <w:rsid w:val="35A378E7"/>
    <w:rsid w:val="35BF0920"/>
    <w:rsid w:val="35F76F59"/>
    <w:rsid w:val="360B0315"/>
    <w:rsid w:val="375201D1"/>
    <w:rsid w:val="377353D4"/>
    <w:rsid w:val="39C60C6E"/>
    <w:rsid w:val="3A115958"/>
    <w:rsid w:val="3A543DA5"/>
    <w:rsid w:val="3A7255B5"/>
    <w:rsid w:val="3A811726"/>
    <w:rsid w:val="3B7A36D2"/>
    <w:rsid w:val="3C0D2389"/>
    <w:rsid w:val="3C5B1DBC"/>
    <w:rsid w:val="3CD043AD"/>
    <w:rsid w:val="3DB755CD"/>
    <w:rsid w:val="3DC10CAE"/>
    <w:rsid w:val="3DD530C5"/>
    <w:rsid w:val="3E143768"/>
    <w:rsid w:val="3E740560"/>
    <w:rsid w:val="3EE55699"/>
    <w:rsid w:val="3EF339AB"/>
    <w:rsid w:val="3F075DB8"/>
    <w:rsid w:val="3F877AC9"/>
    <w:rsid w:val="3FFD0982"/>
    <w:rsid w:val="40541BDA"/>
    <w:rsid w:val="40597EDB"/>
    <w:rsid w:val="41460F03"/>
    <w:rsid w:val="426133F4"/>
    <w:rsid w:val="43E12BA4"/>
    <w:rsid w:val="443C6B00"/>
    <w:rsid w:val="445D63DC"/>
    <w:rsid w:val="44786A71"/>
    <w:rsid w:val="45345E6C"/>
    <w:rsid w:val="4536691D"/>
    <w:rsid w:val="45685A06"/>
    <w:rsid w:val="45D510B3"/>
    <w:rsid w:val="45ED2E63"/>
    <w:rsid w:val="461308D6"/>
    <w:rsid w:val="46CC4364"/>
    <w:rsid w:val="47415AF3"/>
    <w:rsid w:val="47670B87"/>
    <w:rsid w:val="47ED5F40"/>
    <w:rsid w:val="48B014DC"/>
    <w:rsid w:val="48E6735E"/>
    <w:rsid w:val="4A343869"/>
    <w:rsid w:val="4A36174C"/>
    <w:rsid w:val="4A3B4530"/>
    <w:rsid w:val="4A9329E8"/>
    <w:rsid w:val="4BFF1270"/>
    <w:rsid w:val="4C6D4E0C"/>
    <w:rsid w:val="4C9A6F51"/>
    <w:rsid w:val="4CC94116"/>
    <w:rsid w:val="4D226519"/>
    <w:rsid w:val="4D7D2D57"/>
    <w:rsid w:val="4D804DCE"/>
    <w:rsid w:val="4D9E1D2A"/>
    <w:rsid w:val="4E563093"/>
    <w:rsid w:val="4F402D9D"/>
    <w:rsid w:val="4FE30B00"/>
    <w:rsid w:val="500D3812"/>
    <w:rsid w:val="521752CC"/>
    <w:rsid w:val="523F60EA"/>
    <w:rsid w:val="527F761B"/>
    <w:rsid w:val="52ED6F57"/>
    <w:rsid w:val="53AE3814"/>
    <w:rsid w:val="53DE3175"/>
    <w:rsid w:val="5407085B"/>
    <w:rsid w:val="54FB5F66"/>
    <w:rsid w:val="55720372"/>
    <w:rsid w:val="557C08CC"/>
    <w:rsid w:val="55AD52A8"/>
    <w:rsid w:val="56796B2B"/>
    <w:rsid w:val="567C419A"/>
    <w:rsid w:val="5944309C"/>
    <w:rsid w:val="5AED4C29"/>
    <w:rsid w:val="5C1C3A37"/>
    <w:rsid w:val="5C715365"/>
    <w:rsid w:val="5CD37BDA"/>
    <w:rsid w:val="5DEE02FC"/>
    <w:rsid w:val="5E7A578B"/>
    <w:rsid w:val="5E7D2194"/>
    <w:rsid w:val="5E983083"/>
    <w:rsid w:val="5F4C5CE4"/>
    <w:rsid w:val="60223982"/>
    <w:rsid w:val="604970E3"/>
    <w:rsid w:val="60DC189E"/>
    <w:rsid w:val="612767F4"/>
    <w:rsid w:val="61730D8B"/>
    <w:rsid w:val="61DA2E9A"/>
    <w:rsid w:val="62D13AFA"/>
    <w:rsid w:val="636841B6"/>
    <w:rsid w:val="63A9658E"/>
    <w:rsid w:val="63D15B25"/>
    <w:rsid w:val="64E84BD6"/>
    <w:rsid w:val="65572DD1"/>
    <w:rsid w:val="657E256F"/>
    <w:rsid w:val="65F94B59"/>
    <w:rsid w:val="664E1F36"/>
    <w:rsid w:val="6654250A"/>
    <w:rsid w:val="66665D3B"/>
    <w:rsid w:val="66A87998"/>
    <w:rsid w:val="66D027BE"/>
    <w:rsid w:val="672F63D1"/>
    <w:rsid w:val="67E80CD0"/>
    <w:rsid w:val="67F56F1D"/>
    <w:rsid w:val="6828423E"/>
    <w:rsid w:val="68565CBD"/>
    <w:rsid w:val="68D83456"/>
    <w:rsid w:val="69057612"/>
    <w:rsid w:val="694735B7"/>
    <w:rsid w:val="6A176A51"/>
    <w:rsid w:val="6A54337E"/>
    <w:rsid w:val="6A6B5D40"/>
    <w:rsid w:val="6A780F30"/>
    <w:rsid w:val="6BB570E4"/>
    <w:rsid w:val="6BBD5B1A"/>
    <w:rsid w:val="6C061B49"/>
    <w:rsid w:val="6C993E4B"/>
    <w:rsid w:val="6C9D52F2"/>
    <w:rsid w:val="6D624DC9"/>
    <w:rsid w:val="6D9B3E93"/>
    <w:rsid w:val="6E016208"/>
    <w:rsid w:val="6EAD6321"/>
    <w:rsid w:val="6F2F4B24"/>
    <w:rsid w:val="70456B2E"/>
    <w:rsid w:val="7071278D"/>
    <w:rsid w:val="70946272"/>
    <w:rsid w:val="70FE794F"/>
    <w:rsid w:val="71814EAA"/>
    <w:rsid w:val="718F1131"/>
    <w:rsid w:val="72017DB8"/>
    <w:rsid w:val="726F5912"/>
    <w:rsid w:val="72D22F0D"/>
    <w:rsid w:val="7305217D"/>
    <w:rsid w:val="74557B6D"/>
    <w:rsid w:val="757D4596"/>
    <w:rsid w:val="759325D7"/>
    <w:rsid w:val="763755A5"/>
    <w:rsid w:val="768D1ADB"/>
    <w:rsid w:val="76D13D4E"/>
    <w:rsid w:val="77DE46D3"/>
    <w:rsid w:val="78B50729"/>
    <w:rsid w:val="79F1109C"/>
    <w:rsid w:val="7A58507E"/>
    <w:rsid w:val="7A646F29"/>
    <w:rsid w:val="7BBF0393"/>
    <w:rsid w:val="7C353855"/>
    <w:rsid w:val="7C7C4FB5"/>
    <w:rsid w:val="7C884572"/>
    <w:rsid w:val="7CF94F1F"/>
    <w:rsid w:val="7D6645E3"/>
    <w:rsid w:val="7DE15AE6"/>
    <w:rsid w:val="7E273C7E"/>
    <w:rsid w:val="7E483241"/>
    <w:rsid w:val="7E9F44B9"/>
    <w:rsid w:val="7EF2575C"/>
    <w:rsid w:val="7F7D7E39"/>
    <w:rsid w:val="7F854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24"/>
      <w:szCs w:val="24"/>
      <w:lang w:val="en-US" w:eastAsia="zh-CN" w:bidi="ar"/>
    </w:rPr>
  </w:style>
  <w:style w:type="paragraph" w:styleId="4">
    <w:name w:val="heading 4"/>
    <w:basedOn w:val="1"/>
    <w:next w:val="1"/>
    <w:qFormat/>
    <w:uiPriority w:val="0"/>
    <w:pPr>
      <w:keepNext/>
      <w:keepLines/>
      <w:numPr>
        <w:ilvl w:val="3"/>
        <w:numId w:val="1"/>
      </w:numPr>
      <w:spacing w:after="156" w:afterLines="50" w:line="360" w:lineRule="auto"/>
      <w:outlineLvl w:val="3"/>
    </w:pPr>
    <w:rPr>
      <w:rFonts w:ascii="Times New Roman" w:hAnsi="Times New Roman"/>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lock Text"/>
    <w:basedOn w:val="1"/>
    <w:unhideWhenUsed/>
    <w:qFormat/>
    <w:uiPriority w:val="99"/>
    <w:pPr>
      <w:spacing w:after="120"/>
      <w:ind w:left="1440" w:leftChars="700" w:right="1440" w:rightChars="700"/>
    </w:pPr>
  </w:style>
  <w:style w:type="paragraph" w:styleId="5">
    <w:name w:val="Normal Indent"/>
    <w:basedOn w:val="1"/>
    <w:next w:val="6"/>
    <w:qFormat/>
    <w:uiPriority w:val="0"/>
    <w:pPr>
      <w:spacing w:line="360" w:lineRule="auto"/>
      <w:ind w:firstLine="480" w:firstLineChars="200"/>
    </w:pPr>
    <w:rPr>
      <w:rFonts w:ascii="Times New Roman" w:hAnsi="宋体"/>
      <w:sz w:val="24"/>
      <w:szCs w:val="24"/>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annotation text"/>
    <w:basedOn w:val="1"/>
    <w:qFormat/>
    <w:uiPriority w:val="0"/>
    <w:pPr>
      <w:jc w:val="left"/>
    </w:pPr>
  </w:style>
  <w:style w:type="paragraph" w:styleId="8">
    <w:name w:val="footnote text"/>
    <w:basedOn w:val="1"/>
    <w:unhideWhenUsed/>
    <w:qFormat/>
    <w:uiPriority w:val="99"/>
    <w:pPr>
      <w:snapToGrid w:val="0"/>
      <w:jc w:val="left"/>
    </w:pPr>
    <w:rPr>
      <w:sz w:val="18"/>
      <w:szCs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3">
    <w:name w:val="Strong"/>
    <w:basedOn w:val="12"/>
    <w:qFormat/>
    <w:uiPriority w:val="0"/>
    <w:rPr>
      <w:b/>
    </w:rPr>
  </w:style>
  <w:style w:type="character" w:styleId="14">
    <w:name w:val="FollowedHyperlink"/>
    <w:basedOn w:val="12"/>
    <w:qFormat/>
    <w:uiPriority w:val="0"/>
    <w:rPr>
      <w:color w:val="277EFF"/>
      <w:u w:val="none"/>
    </w:rPr>
  </w:style>
  <w:style w:type="character" w:styleId="15">
    <w:name w:val="Emphasis"/>
    <w:basedOn w:val="12"/>
    <w:qFormat/>
    <w:uiPriority w:val="0"/>
  </w:style>
  <w:style w:type="character" w:styleId="16">
    <w:name w:val="HTML Definition"/>
    <w:basedOn w:val="12"/>
    <w:qFormat/>
    <w:uiPriority w:val="0"/>
  </w:style>
  <w:style w:type="character" w:styleId="17">
    <w:name w:val="HTML Acronym"/>
    <w:basedOn w:val="12"/>
    <w:qFormat/>
    <w:uiPriority w:val="0"/>
  </w:style>
  <w:style w:type="character" w:styleId="18">
    <w:name w:val="HTML Variable"/>
    <w:basedOn w:val="12"/>
    <w:qFormat/>
    <w:uiPriority w:val="0"/>
  </w:style>
  <w:style w:type="character" w:styleId="19">
    <w:name w:val="Hyperlink"/>
    <w:basedOn w:val="12"/>
    <w:qFormat/>
    <w:uiPriority w:val="0"/>
    <w:rPr>
      <w:color w:val="277EFF"/>
      <w:u w:val="none"/>
    </w:rPr>
  </w:style>
  <w:style w:type="character" w:styleId="20">
    <w:name w:val="HTML Code"/>
    <w:basedOn w:val="12"/>
    <w:qFormat/>
    <w:uiPriority w:val="0"/>
    <w:rPr>
      <w:rFonts w:ascii="Courier New" w:hAnsi="Courier New"/>
      <w:sz w:val="20"/>
    </w:rPr>
  </w:style>
  <w:style w:type="character" w:styleId="21">
    <w:name w:val="HTML Cite"/>
    <w:basedOn w:val="12"/>
    <w:qFormat/>
    <w:uiPriority w:val="0"/>
  </w:style>
  <w:style w:type="character" w:styleId="22">
    <w:name w:val="footnote reference"/>
    <w:basedOn w:val="12"/>
    <w:unhideWhenUsed/>
    <w:qFormat/>
    <w:uiPriority w:val="99"/>
    <w:rPr>
      <w:vertAlign w:val="superscript"/>
    </w:rPr>
  </w:style>
  <w:style w:type="paragraph" w:customStyle="1" w:styleId="23">
    <w:name w:val="标题_自定义_4"/>
    <w:basedOn w:val="4"/>
    <w:qFormat/>
    <w:uiPriority w:val="0"/>
    <w:pPr>
      <w:numPr>
        <w:ilvl w:val="3"/>
        <w:numId w:val="2"/>
      </w:numPr>
      <w:spacing w:line="372" w:lineRule="auto"/>
    </w:pPr>
    <w:rPr>
      <w:rFonts w:ascii="Times New Roman" w:hAnsi="Cambria" w:eastAsia="宋体" w:cs="Times New Roman"/>
      <w:sz w:val="24"/>
      <w:szCs w:val="24"/>
    </w:rPr>
  </w:style>
  <w:style w:type="character" w:customStyle="1" w:styleId="24">
    <w:name w:val="concat-text"/>
    <w:basedOn w:val="12"/>
    <w:qFormat/>
    <w:uiPriority w:val="0"/>
  </w:style>
  <w:style w:type="character" w:customStyle="1" w:styleId="25">
    <w:name w:val="hover7"/>
    <w:basedOn w:val="12"/>
    <w:qFormat/>
    <w:uiPriority w:val="0"/>
    <w:rPr>
      <w:color w:val="004098"/>
      <w:bdr w:val="single" w:color="004098" w:sz="4" w:space="0"/>
    </w:rPr>
  </w:style>
  <w:style w:type="character" w:customStyle="1" w:styleId="26">
    <w:name w:val="hover8"/>
    <w:basedOn w:val="12"/>
    <w:qFormat/>
    <w:uiPriority w:val="0"/>
    <w:rPr>
      <w:color w:val="FFFFFF"/>
      <w:shd w:val="clear" w:fill="004098"/>
    </w:rPr>
  </w:style>
  <w:style w:type="character" w:customStyle="1" w:styleId="27">
    <w:name w:val="hover9"/>
    <w:basedOn w:val="12"/>
    <w:qFormat/>
    <w:uiPriority w:val="0"/>
    <w:rPr>
      <w:color w:val="FFFFFF"/>
    </w:rPr>
  </w:style>
  <w:style w:type="character" w:customStyle="1" w:styleId="28">
    <w:name w:val="hover10"/>
    <w:basedOn w:val="12"/>
    <w:qFormat/>
    <w:uiPriority w:val="0"/>
    <w:rPr>
      <w:color w:val="FFFFFF"/>
      <w:shd w:val="clear" w:fill="6495ED"/>
    </w:rPr>
  </w:style>
  <w:style w:type="character" w:customStyle="1" w:styleId="29">
    <w:name w:val="advice"/>
    <w:basedOn w:val="12"/>
    <w:qFormat/>
    <w:uiPriority w:val="0"/>
    <w:rPr>
      <w:color w:val="004098"/>
      <w:bdr w:val="single" w:color="004098" w:sz="4" w:space="0"/>
    </w:rPr>
  </w:style>
  <w:style w:type="character" w:customStyle="1" w:styleId="30">
    <w:name w:val="last-child"/>
    <w:basedOn w:val="12"/>
    <w:qFormat/>
    <w:uiPriority w:val="0"/>
  </w:style>
  <w:style w:type="character" w:customStyle="1" w:styleId="31">
    <w:name w:val="on1"/>
    <w:basedOn w:val="12"/>
    <w:qFormat/>
    <w:uiPriority w:val="0"/>
    <w:rPr>
      <w:color w:val="FFFFFF"/>
      <w:shd w:val="clear" w:fill="004098"/>
    </w:rPr>
  </w:style>
  <w:style w:type="character" w:customStyle="1" w:styleId="32">
    <w:name w:val="on2"/>
    <w:basedOn w:val="12"/>
    <w:qFormat/>
    <w:uiPriority w:val="0"/>
    <w:rPr>
      <w:color w:val="004098"/>
      <w:bdr w:val="single" w:color="004098" w:sz="4" w:space="0"/>
    </w:rPr>
  </w:style>
  <w:style w:type="character" w:customStyle="1" w:styleId="33">
    <w:name w:val="active"/>
    <w:basedOn w:val="12"/>
    <w:qFormat/>
    <w:uiPriority w:val="0"/>
    <w:rPr>
      <w:color w:val="FFFFFF"/>
      <w:shd w:val="clear" w:fill="004098"/>
    </w:rPr>
  </w:style>
  <w:style w:type="character" w:customStyle="1" w:styleId="34">
    <w:name w:val="statuspurchase"/>
    <w:basedOn w:val="12"/>
    <w:qFormat/>
    <w:uiPriority w:val="0"/>
    <w:rPr>
      <w:vanish/>
      <w:color w:val="004098"/>
      <w:sz w:val="14"/>
      <w:szCs w:val="14"/>
      <w:bdr w:val="single" w:color="004098" w:sz="4" w:space="0"/>
    </w:rPr>
  </w:style>
  <w:style w:type="character" w:customStyle="1" w:styleId="35">
    <w:name w:val="concat-title"/>
    <w:basedOn w:val="12"/>
    <w:qFormat/>
    <w:uiPriority w:val="0"/>
    <w:rPr>
      <w:color w:val="666666"/>
      <w:sz w:val="16"/>
      <w:szCs w:val="16"/>
    </w:rPr>
  </w:style>
  <w:style w:type="character" w:customStyle="1" w:styleId="36">
    <w:name w:val="nth-child(1)"/>
    <w:basedOn w:val="12"/>
    <w:qFormat/>
    <w:uiPriority w:val="0"/>
  </w:style>
  <w:style w:type="character" w:customStyle="1" w:styleId="37">
    <w:name w:val="nth-child(2)"/>
    <w:basedOn w:val="12"/>
    <w:qFormat/>
    <w:uiPriority w:val="0"/>
  </w:style>
  <w:style w:type="character" w:customStyle="1" w:styleId="38">
    <w:name w:val="nth-child(2)1"/>
    <w:basedOn w:val="12"/>
    <w:qFormat/>
    <w:uiPriority w:val="0"/>
  </w:style>
  <w:style w:type="character" w:customStyle="1" w:styleId="39">
    <w:name w:val="hover"/>
    <w:basedOn w:val="12"/>
    <w:qFormat/>
    <w:uiPriority w:val="0"/>
    <w:rPr>
      <w:color w:val="004098"/>
      <w:bdr w:val="single" w:color="004098" w:sz="4" w:space="0"/>
    </w:rPr>
  </w:style>
  <w:style w:type="character" w:customStyle="1" w:styleId="40">
    <w:name w:val="hover1"/>
    <w:basedOn w:val="12"/>
    <w:qFormat/>
    <w:uiPriority w:val="0"/>
    <w:rPr>
      <w:color w:val="FFFFFF"/>
      <w:shd w:val="clear" w:fill="004098"/>
    </w:rPr>
  </w:style>
  <w:style w:type="character" w:customStyle="1" w:styleId="41">
    <w:name w:val="hover2"/>
    <w:basedOn w:val="12"/>
    <w:qFormat/>
    <w:uiPriority w:val="0"/>
    <w:rPr>
      <w:color w:val="FFFFFF"/>
    </w:rPr>
  </w:style>
  <w:style w:type="character" w:customStyle="1" w:styleId="42">
    <w:name w:val="hover3"/>
    <w:basedOn w:val="12"/>
    <w:qFormat/>
    <w:uiPriority w:val="0"/>
    <w:rPr>
      <w:color w:val="FFFFFF"/>
      <w:shd w:val="clear" w:fill="6495ED"/>
    </w:rPr>
  </w:style>
  <w:style w:type="character" w:customStyle="1" w:styleId="43">
    <w:name w:val="on"/>
    <w:basedOn w:val="12"/>
    <w:qFormat/>
    <w:uiPriority w:val="0"/>
    <w:rPr>
      <w:color w:val="FFFFFF"/>
      <w:shd w:val="clear" w:fill="004098"/>
    </w:rPr>
  </w:style>
  <w:style w:type="paragraph" w:customStyle="1" w:styleId="44">
    <w:name w:val="正文样式my + 首行缩进:  0.74 厘米"/>
    <w:basedOn w:val="45"/>
    <w:qFormat/>
    <w:uiPriority w:val="0"/>
    <w:pPr>
      <w:ind w:firstLine="420"/>
    </w:pPr>
    <w:rPr>
      <w:rFonts w:cs="宋体"/>
      <w:szCs w:val="20"/>
    </w:rPr>
  </w:style>
  <w:style w:type="paragraph" w:customStyle="1" w:styleId="45">
    <w:name w:val="正文样式1"/>
    <w:basedOn w:val="1"/>
    <w:qFormat/>
    <w:uiPriority w:val="0"/>
    <w:pPr>
      <w:spacing w:line="360" w:lineRule="auto"/>
      <w:ind w:firstLine="480"/>
    </w:pPr>
    <w:rPr>
      <w:rFonts w:ascii="宋体" w:hAnsi="宋体"/>
      <w:sz w:val="24"/>
      <w:szCs w:val="24"/>
    </w:rPr>
  </w:style>
  <w:style w:type="paragraph" w:styleId="4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39</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2025-09-18T07:40:00Z</dcterms:created>
  <dc:creator>WPS_1739925737</dc:creator>
  <cp:lastModifiedBy>总行工会文档管理员</cp:lastModifiedBy>
  <dcterms:modified xsi:type="dcterms:W3CDTF">2026-05-27T06:06:53Z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CC1D13CF4CBA444AB8FC99BD281C07E1</vt:lpwstr>
  </property>
  <property fmtid="{D5CDD505-2E9C-101B-9397-08002B2CF9AE}" pid="4" name="KSOTemplateDocerSaveRecord">
    <vt:lpwstr>eyJoZGlkIjoiYWU2MTdkZDRiMDcyMTJhOGIyMzA3MjY5NTA1ZWYzMjIiLCJ1c2VySWQiOiIxNjgxMzEzMDc0In0=</vt:lpwstr>
  </property>
</Properties>
</file>