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0" w:beforeAutospacing="0" w:after="0" w:afterAutospacing="0" w:line="440" w:lineRule="exact"/>
        <w:ind w:left="0" w:right="0" w:firstLine="0" w:firstLineChars="0"/>
        <w:jc w:val="center"/>
        <w:outlineLvl w:val="0"/>
        <w:rPr>
          <w:rFonts w:hint="eastAsia" w:ascii="宋体" w:hAnsi="宋体" w:eastAsia="宋体" w:cs="宋体"/>
          <w:b/>
          <w:bCs/>
          <w:kern w:val="0"/>
          <w:sz w:val="32"/>
          <w:szCs w:val="32"/>
          <w:lang w:bidi="ar"/>
        </w:rPr>
      </w:pPr>
      <w:r>
        <w:rPr>
          <w:rFonts w:hint="eastAsia" w:ascii="宋体" w:hAnsi="宋体" w:eastAsia="宋体" w:cs="宋体"/>
          <w:b/>
          <w:bCs/>
          <w:kern w:val="0"/>
          <w:sz w:val="32"/>
          <w:szCs w:val="32"/>
          <w:lang w:val="en-US" w:eastAsia="zh-CN" w:bidi="ar"/>
        </w:rPr>
        <w:t>厦门国际银行大数据应用平台配套新一代核心系统项目群改造项目供应商征集公告</w:t>
      </w:r>
    </w:p>
    <w:p>
      <w:pPr>
        <w:keepNext w:val="0"/>
        <w:keepLines w:val="0"/>
        <w:widowControl/>
        <w:suppressLineNumbers w:val="0"/>
        <w:spacing w:before="0" w:beforeAutospacing="0" w:after="0" w:afterAutospacing="0" w:line="440" w:lineRule="exact"/>
        <w:ind w:left="0" w:right="0"/>
        <w:jc w:val="center"/>
        <w:rPr>
          <w:rFonts w:hint="eastAsia" w:ascii="宋体" w:hAnsi="宋体" w:eastAsia="宋体" w:cs="宋体"/>
          <w:sz w:val="24"/>
        </w:rPr>
      </w:pPr>
      <w:r>
        <w:rPr>
          <w:rFonts w:hint="eastAsia" w:ascii="宋体" w:hAnsi="宋体" w:eastAsia="宋体" w:cs="宋体"/>
          <w:kern w:val="2"/>
          <w:sz w:val="24"/>
          <w:szCs w:val="24"/>
          <w:lang w:val="en-US" w:eastAsia="zh-CN" w:bidi="ar"/>
        </w:rPr>
        <w:t xml:space="preserve"> </w:t>
      </w:r>
    </w:p>
    <w:p>
      <w:pPr>
        <w:keepNext w:val="0"/>
        <w:keepLines w:val="0"/>
        <w:widowControl/>
        <w:suppressLineNumbers w:val="0"/>
        <w:spacing w:before="0" w:beforeAutospacing="0" w:after="0" w:afterAutospacing="0" w:line="440" w:lineRule="exact"/>
        <w:ind w:left="0" w:right="0" w:firstLine="600"/>
        <w:jc w:val="left"/>
        <w:rPr>
          <w:rFonts w:hint="eastAsia" w:ascii="宋体" w:hAnsi="宋体" w:eastAsia="宋体" w:cs="宋体"/>
          <w:sz w:val="24"/>
        </w:rPr>
      </w:pPr>
      <w:r>
        <w:rPr>
          <w:rFonts w:hint="eastAsia" w:ascii="宋体" w:hAnsi="宋体" w:eastAsia="宋体" w:cs="宋体"/>
          <w:kern w:val="2"/>
          <w:sz w:val="24"/>
          <w:szCs w:val="24"/>
          <w:lang w:val="en-US" w:eastAsia="zh-CN" w:bidi="ar"/>
        </w:rPr>
        <w:t>征集人厦门国际银行股份有限公司根据工作需要，拟开展大数据应用平台配套新一代核心系统项目群改造项目供应商征集，有关事宜公告如下：</w:t>
      </w:r>
    </w:p>
    <w:p>
      <w:pPr>
        <w:keepNext w:val="0"/>
        <w:keepLines w:val="0"/>
        <w:widowControl/>
        <w:numPr>
          <w:ilvl w:val="0"/>
          <w:numId w:val="0"/>
        </w:numPr>
        <w:suppressLineNumbers w:val="0"/>
        <w:spacing w:before="0" w:beforeAutospacing="0" w:after="0" w:afterAutospacing="0" w:line="440" w:lineRule="exact"/>
        <w:ind w:left="567" w:right="0" w:firstLine="53" w:firstLineChars="22"/>
        <w:jc w:val="both"/>
        <w:outlineLvl w:val="0"/>
        <w:rPr>
          <w:rFonts w:hint="eastAsia" w:ascii="宋体" w:hAnsi="宋体" w:eastAsia="宋体" w:cs="宋体"/>
          <w:b/>
          <w:bCs/>
          <w:sz w:val="24"/>
          <w:lang w:bidi="ar"/>
        </w:rPr>
      </w:pPr>
      <w:r>
        <w:rPr>
          <w:rFonts w:hint="eastAsia" w:ascii="宋体" w:hAnsi="宋体" w:eastAsia="宋体" w:cs="宋体"/>
          <w:b/>
          <w:bCs/>
          <w:kern w:val="2"/>
          <w:sz w:val="24"/>
          <w:szCs w:val="24"/>
          <w:lang w:val="en-US" w:eastAsia="zh-CN" w:bidi="ar"/>
        </w:rPr>
        <w:t>一、采购需求及资格要求</w:t>
      </w:r>
    </w:p>
    <w:p>
      <w:pPr>
        <w:keepNext w:val="0"/>
        <w:keepLines w:val="0"/>
        <w:widowControl/>
        <w:suppressLineNumbers w:val="0"/>
        <w:spacing w:before="0" w:beforeAutospacing="0" w:after="0" w:afterAutospacing="0" w:line="440" w:lineRule="exact"/>
        <w:ind w:left="0" w:right="0" w:firstLine="482" w:firstLineChars="200"/>
        <w:jc w:val="left"/>
        <w:outlineLvl w:val="1"/>
        <w:rPr>
          <w:rFonts w:hint="default" w:ascii="宋体" w:hAnsi="宋体" w:eastAsia="宋体" w:cs="宋体"/>
          <w:sz w:val="24"/>
          <w:lang w:val="en-US"/>
        </w:rPr>
      </w:pPr>
      <w:r>
        <w:rPr>
          <w:rFonts w:hint="eastAsia" w:ascii="宋体" w:hAnsi="宋体" w:eastAsia="宋体" w:cs="宋体"/>
          <w:b/>
          <w:bCs/>
          <w:kern w:val="2"/>
          <w:sz w:val="24"/>
          <w:szCs w:val="24"/>
          <w:lang w:val="en-US" w:eastAsia="zh-CN" w:bidi="ar"/>
        </w:rPr>
        <w:t>1. </w:t>
      </w:r>
      <w:r>
        <w:rPr>
          <w:rStyle w:val="11"/>
          <w:rFonts w:hint="eastAsia" w:ascii="宋体" w:hAnsi="宋体" w:eastAsia="宋体" w:cs="宋体"/>
          <w:kern w:val="0"/>
          <w:sz w:val="24"/>
          <w:szCs w:val="24"/>
          <w:lang w:val="en-US" w:eastAsia="zh-CN" w:bidi="ar"/>
        </w:rPr>
        <w:t>采购需求：</w:t>
      </w:r>
    </w:p>
    <w:p>
      <w:pPr>
        <w:pStyle w:val="41"/>
        <w:ind w:firstLine="480" w:firstLineChars="200"/>
        <w:rPr>
          <w:rFonts w:hint="default"/>
          <w:lang w:val="en-US"/>
        </w:rPr>
      </w:pPr>
      <w:r>
        <w:rPr>
          <w:rFonts w:hint="eastAsia" w:eastAsia="宋体" w:cs="宋体"/>
          <w:bCs/>
          <w:i w:val="0"/>
          <w:iCs w:val="0"/>
          <w:caps w:val="0"/>
          <w:spacing w:val="0"/>
          <w:kern w:val="2"/>
          <w:sz w:val="24"/>
          <w:szCs w:val="20"/>
          <w:lang w:val="en-US" w:eastAsia="zh-CN"/>
        </w:rPr>
        <w:t>该项目旨在根据项目建设范围完成</w:t>
      </w:r>
      <w:r>
        <w:rPr>
          <w:rFonts w:hint="eastAsia" w:ascii="宋体" w:hAnsi="宋体" w:eastAsia="宋体" w:cs="宋体"/>
          <w:bCs/>
          <w:i w:val="0"/>
          <w:iCs w:val="0"/>
          <w:caps w:val="0"/>
          <w:spacing w:val="0"/>
          <w:kern w:val="2"/>
          <w:sz w:val="24"/>
          <w:szCs w:val="20"/>
        </w:rPr>
        <w:t>大数据应用平台</w:t>
      </w:r>
      <w:r>
        <w:rPr>
          <w:rFonts w:hint="eastAsia" w:eastAsia="宋体" w:cs="宋体"/>
          <w:bCs/>
          <w:i w:val="0"/>
          <w:iCs w:val="0"/>
          <w:caps w:val="0"/>
          <w:spacing w:val="0"/>
          <w:kern w:val="2"/>
          <w:sz w:val="24"/>
          <w:szCs w:val="20"/>
          <w:lang w:val="en-US" w:eastAsia="zh-CN"/>
        </w:rPr>
        <w:t>配套</w:t>
      </w:r>
      <w:r>
        <w:rPr>
          <w:rFonts w:hint="eastAsia" w:ascii="宋体" w:hAnsi="宋体" w:eastAsia="宋体" w:cs="宋体"/>
          <w:bCs/>
          <w:i w:val="0"/>
          <w:iCs w:val="0"/>
          <w:caps w:val="0"/>
          <w:spacing w:val="0"/>
          <w:kern w:val="2"/>
          <w:sz w:val="24"/>
          <w:szCs w:val="20"/>
          <w:lang w:val="en-US" w:eastAsia="zh-CN"/>
        </w:rPr>
        <w:t>我行</w:t>
      </w:r>
      <w:r>
        <w:rPr>
          <w:rFonts w:hint="eastAsia" w:ascii="宋体" w:hAnsi="宋体" w:eastAsia="宋体" w:cs="宋体"/>
          <w:bCs/>
          <w:i w:val="0"/>
          <w:iCs w:val="0"/>
          <w:caps w:val="0"/>
          <w:spacing w:val="0"/>
          <w:kern w:val="2"/>
          <w:sz w:val="24"/>
          <w:szCs w:val="20"/>
        </w:rPr>
        <w:t>新一代核心项目群</w:t>
      </w:r>
      <w:r>
        <w:rPr>
          <w:rFonts w:hint="eastAsia" w:ascii="宋体" w:hAnsi="宋体" w:eastAsia="宋体" w:cs="宋体"/>
          <w:color w:val="000000"/>
          <w:sz w:val="24"/>
          <w:lang w:val="en-US" w:eastAsia="zh-CN"/>
        </w:rPr>
        <w:t>数据架构调整</w:t>
      </w:r>
      <w:r>
        <w:rPr>
          <w:rFonts w:hint="eastAsia" w:eastAsia="宋体" w:cs="宋体"/>
          <w:color w:val="000000"/>
          <w:sz w:val="24"/>
          <w:lang w:val="en-US" w:eastAsia="zh-CN"/>
        </w:rPr>
        <w:t>的</w:t>
      </w:r>
      <w:r>
        <w:rPr>
          <w:rFonts w:hint="eastAsia" w:ascii="宋体" w:hAnsi="宋体" w:eastAsia="宋体" w:cs="宋体"/>
          <w:bCs/>
          <w:i w:val="0"/>
          <w:iCs w:val="0"/>
          <w:caps w:val="0"/>
          <w:spacing w:val="0"/>
          <w:kern w:val="2"/>
          <w:sz w:val="24"/>
          <w:szCs w:val="20"/>
        </w:rPr>
        <w:t>整体</w:t>
      </w:r>
      <w:r>
        <w:rPr>
          <w:rFonts w:hint="eastAsia" w:eastAsia="宋体" w:cs="宋体"/>
          <w:bCs/>
          <w:i w:val="0"/>
          <w:iCs w:val="0"/>
          <w:caps w:val="0"/>
          <w:spacing w:val="0"/>
          <w:kern w:val="2"/>
          <w:sz w:val="24"/>
          <w:szCs w:val="20"/>
          <w:lang w:val="en-US" w:eastAsia="zh-CN"/>
        </w:rPr>
        <w:t>改造</w:t>
      </w:r>
      <w:r>
        <w:rPr>
          <w:rFonts w:hint="eastAsia" w:ascii="宋体" w:hAnsi="宋体" w:eastAsia="宋体" w:cs="宋体"/>
          <w:bCs/>
          <w:lang w:eastAsia="zh-CN"/>
        </w:rPr>
        <w:t>。</w:t>
      </w:r>
      <w:r>
        <w:rPr>
          <w:rFonts w:hint="eastAsia" w:ascii="宋体" w:hAnsi="宋体" w:eastAsia="宋体" w:cs="宋体"/>
          <w:lang w:val="en-US" w:eastAsia="zh-CN"/>
        </w:rPr>
        <w:t>本项目覆盖</w:t>
      </w:r>
      <w:r>
        <w:rPr>
          <w:rFonts w:hint="eastAsia" w:ascii="宋体" w:hAnsi="宋体" w:eastAsia="宋体" w:cs="宋体"/>
          <w:i w:val="0"/>
          <w:sz w:val="24"/>
        </w:rPr>
        <w:t>XIB、LIB境外机构</w:t>
      </w:r>
      <w:r>
        <w:rPr>
          <w:rFonts w:hint="eastAsia" w:ascii="宋体" w:hAnsi="宋体" w:eastAsia="宋体" w:cs="宋体"/>
          <w:i w:val="0"/>
          <w:sz w:val="24"/>
          <w:lang w:eastAsia="zh-CN"/>
        </w:rPr>
        <w:t>、</w:t>
      </w:r>
      <w:r>
        <w:rPr>
          <w:rFonts w:hint="eastAsia" w:ascii="宋体" w:hAnsi="宋体" w:eastAsia="宋体" w:cs="宋体"/>
          <w:i w:val="0"/>
          <w:sz w:val="24"/>
        </w:rPr>
        <w:t>LIB境内机构、CYB</w:t>
      </w:r>
      <w:r>
        <w:rPr>
          <w:rFonts w:hint="eastAsia" w:cs="宋体"/>
          <w:i w:val="0"/>
          <w:sz w:val="24"/>
          <w:lang w:val="en-US" w:eastAsia="zh-CN"/>
        </w:rPr>
        <w:t>境内</w:t>
      </w:r>
      <w:r>
        <w:rPr>
          <w:rFonts w:hint="eastAsia" w:ascii="宋体" w:hAnsi="宋体" w:eastAsia="宋体" w:cs="宋体"/>
          <w:i w:val="0"/>
          <w:sz w:val="24"/>
        </w:rPr>
        <w:t>机构</w:t>
      </w:r>
      <w:r>
        <w:rPr>
          <w:rFonts w:hint="eastAsia" w:eastAsia="宋体"/>
        </w:rPr>
        <w:t>四个法人实体，需配合行内23个新建系统及百余个配套系统的升级改造，改造范围包括对大数据应用平台现有的数据接入、数据模型、指标、报表、</w:t>
      </w:r>
      <w:r>
        <w:rPr>
          <w:rFonts w:hint="eastAsia" w:eastAsia="宋体"/>
          <w:lang w:val="en-US" w:eastAsia="zh-CN"/>
        </w:rPr>
        <w:t>数据服务</w:t>
      </w:r>
      <w:r>
        <w:rPr>
          <w:rFonts w:hint="eastAsia" w:eastAsia="宋体"/>
          <w:lang w:eastAsia="zh-CN"/>
        </w:rPr>
        <w:t>、</w:t>
      </w:r>
      <w:r>
        <w:rPr>
          <w:rFonts w:hint="eastAsia" w:eastAsia="宋体"/>
          <w:lang w:val="en-US" w:eastAsia="zh-CN"/>
        </w:rPr>
        <w:t>字段级血缘分析</w:t>
      </w:r>
      <w:r>
        <w:rPr>
          <w:rFonts w:hint="eastAsia" w:eastAsia="宋体"/>
        </w:rPr>
        <w:t>等</w:t>
      </w:r>
      <w:r>
        <w:rPr>
          <w:rFonts w:hint="eastAsia" w:eastAsia="宋体"/>
          <w:lang w:val="en-US" w:eastAsia="zh-CN"/>
        </w:rPr>
        <w:t>主要</w:t>
      </w:r>
      <w:r>
        <w:rPr>
          <w:rFonts w:hint="eastAsia" w:eastAsia="宋体"/>
        </w:rPr>
        <w:t>模块进行改造提升</w:t>
      </w:r>
      <w:r>
        <w:rPr>
          <w:rFonts w:hint="eastAsia" w:cs="宋体"/>
          <w:i w:val="0"/>
          <w:sz w:val="24"/>
          <w:lang w:val="en-US" w:eastAsia="zh-CN"/>
        </w:rPr>
        <w:t>，</w:t>
      </w:r>
      <w:r>
        <w:rPr>
          <w:rFonts w:hint="eastAsia"/>
          <w:lang w:val="en-US" w:eastAsia="zh-CN"/>
        </w:rPr>
        <w:t>各实体分阶段建设并</w:t>
      </w:r>
      <w:r>
        <w:rPr>
          <w:rFonts w:hint="eastAsia"/>
          <w:sz w:val="24"/>
        </w:rPr>
        <w:t>与新核心业务系统同时上线</w:t>
      </w:r>
      <w:r>
        <w:rPr>
          <w:rFonts w:hint="eastAsia"/>
          <w:sz w:val="24"/>
          <w:lang w:eastAsia="zh-CN"/>
        </w:rPr>
        <w:t>。</w:t>
      </w:r>
      <w:r>
        <w:rPr>
          <w:rFonts w:hint="eastAsia"/>
          <w:sz w:val="24"/>
          <w:lang w:val="en-US" w:eastAsia="zh-CN"/>
        </w:rPr>
        <w:t>主要功能内容说明如下：</w:t>
      </w:r>
    </w:p>
    <w:p>
      <w:pPr>
        <w:pStyle w:val="41"/>
        <w:numPr>
          <w:ilvl w:val="0"/>
          <w:numId w:val="3"/>
        </w:numPr>
        <w:ind w:firstLine="480" w:firstLineChars="200"/>
        <w:rPr>
          <w:rFonts w:hint="eastAsia"/>
        </w:rPr>
      </w:pPr>
      <w:r>
        <w:rPr>
          <w:rFonts w:hint="eastAsia"/>
          <w:lang w:val="en-US" w:eastAsia="zh-CN"/>
        </w:rPr>
        <w:t>数据接入功能：</w:t>
      </w:r>
      <w:r>
        <w:rPr>
          <w:rFonts w:hint="eastAsia" w:ascii="宋体" w:hAnsi="宋体" w:eastAsia="宋体" w:cs="宋体"/>
          <w:color w:val="000000"/>
          <w:sz w:val="24"/>
          <w:lang w:val="en-US" w:eastAsia="zh-CN"/>
        </w:rPr>
        <w:t>完成大数据应用平台接入新一代核心系统项目群新增与变更的数据内容；建立与新一代核心系统模型相匹配的数据清洗、转换和加载（ETL）流程，确保数据标准统一、质量可靠，满足数据标准化要求；设计并实施平稳过渡方案，保障新旧核心系统切换期间大数据应用平台服务连续性，避免业务中断</w:t>
      </w:r>
      <w:r>
        <w:rPr>
          <w:rFonts w:hint="eastAsia"/>
          <w:lang w:eastAsia="zh-CN"/>
        </w:rPr>
        <w:t>。</w:t>
      </w:r>
    </w:p>
    <w:p>
      <w:pPr>
        <w:pStyle w:val="41"/>
        <w:numPr>
          <w:ilvl w:val="0"/>
          <w:numId w:val="3"/>
        </w:numPr>
        <w:ind w:firstLine="480" w:firstLineChars="200"/>
        <w:rPr>
          <w:rFonts w:hint="eastAsia"/>
        </w:rPr>
      </w:pPr>
      <w:r>
        <w:rPr>
          <w:rFonts w:hint="eastAsia"/>
          <w:lang w:val="en-US" w:eastAsia="zh-CN"/>
        </w:rPr>
        <w:t>数据模型功能：</w:t>
      </w:r>
      <w:r>
        <w:rPr>
          <w:rFonts w:hint="eastAsia" w:ascii="宋体" w:hAnsi="宋体" w:eastAsia="宋体" w:cs="宋体"/>
          <w:color w:val="000000"/>
          <w:sz w:val="24"/>
          <w:lang w:val="en-US" w:eastAsia="zh-CN"/>
        </w:rPr>
        <w:t>依据新一代核心项目群的数据架构调整及业务场景需求，完善并深度优化公共数据模型。涵盖的主题包括客户信息、存款业务、信贷业务、支付结算、柜面业务、科目核算、公共核算、贸易业务、金融市场业务、供应链金融、线上贷款等，构建分层清晰、可复用性强</w:t>
      </w:r>
      <w:r>
        <w:rPr>
          <w:rFonts w:hint="eastAsia" w:eastAsia="宋体" w:cs="宋体"/>
          <w:color w:val="000000"/>
          <w:sz w:val="24"/>
          <w:lang w:val="en-US" w:eastAsia="zh-CN"/>
        </w:rPr>
        <w:t>、高价值性</w:t>
      </w:r>
      <w:r>
        <w:rPr>
          <w:rFonts w:hint="eastAsia" w:ascii="宋体" w:hAnsi="宋体" w:eastAsia="宋体" w:cs="宋体"/>
          <w:color w:val="000000"/>
          <w:sz w:val="24"/>
          <w:lang w:val="en-US" w:eastAsia="zh-CN"/>
        </w:rPr>
        <w:t>的数据模型体系</w:t>
      </w:r>
      <w:r>
        <w:rPr>
          <w:rFonts w:hint="eastAsia"/>
          <w:lang w:eastAsia="zh-CN"/>
        </w:rPr>
        <w:t>。</w:t>
      </w:r>
    </w:p>
    <w:p>
      <w:pPr>
        <w:pStyle w:val="41"/>
        <w:numPr>
          <w:ilvl w:val="0"/>
          <w:numId w:val="3"/>
        </w:numPr>
        <w:ind w:firstLine="480" w:firstLineChars="200"/>
        <w:rPr>
          <w:rFonts w:hint="eastAsia"/>
        </w:rPr>
      </w:pPr>
      <w:r>
        <w:rPr>
          <w:rFonts w:hint="eastAsia"/>
          <w:lang w:val="en-US" w:eastAsia="zh-CN"/>
        </w:rPr>
        <w:t>数据指标功能：</w:t>
      </w:r>
      <w:r>
        <w:rPr>
          <w:rFonts w:hint="eastAsia" w:ascii="宋体" w:hAnsi="宋体" w:eastAsia="宋体" w:cs="宋体"/>
          <w:color w:val="000000"/>
          <w:sz w:val="24"/>
          <w:lang w:val="en-US" w:eastAsia="zh-CN"/>
        </w:rPr>
        <w:t>结合新一代核心项目群的数据架构变化与实际业务需要，开展数据指标的新增与</w:t>
      </w:r>
      <w:r>
        <w:rPr>
          <w:rFonts w:hint="eastAsia" w:eastAsia="宋体" w:cs="宋体"/>
          <w:color w:val="000000"/>
          <w:sz w:val="24"/>
          <w:lang w:val="en-US" w:eastAsia="zh-CN"/>
        </w:rPr>
        <w:t>适应性</w:t>
      </w:r>
      <w:r>
        <w:rPr>
          <w:rFonts w:hint="eastAsia" w:ascii="宋体" w:hAnsi="宋体" w:eastAsia="宋体" w:cs="宋体"/>
          <w:color w:val="000000"/>
          <w:sz w:val="24"/>
          <w:lang w:val="en-US" w:eastAsia="zh-CN"/>
        </w:rPr>
        <w:t>改造工作，统一指标口径，强化指标归口管理，构建覆盖客户、风险、财务、绩效等领域的统一业务指标库。</w:t>
      </w:r>
    </w:p>
    <w:p>
      <w:pPr>
        <w:pStyle w:val="41"/>
        <w:numPr>
          <w:ilvl w:val="0"/>
          <w:numId w:val="3"/>
        </w:numPr>
        <w:ind w:firstLine="480" w:firstLineChars="200"/>
        <w:rPr>
          <w:rFonts w:hint="default"/>
          <w:lang w:val="en-US" w:eastAsia="zh-CN"/>
        </w:rPr>
      </w:pPr>
      <w:r>
        <w:rPr>
          <w:rFonts w:hint="eastAsia"/>
          <w:lang w:val="en-US" w:eastAsia="zh-CN"/>
        </w:rPr>
        <w:t>数据报表功能：</w:t>
      </w:r>
      <w:r>
        <w:rPr>
          <w:rFonts w:hint="eastAsia" w:ascii="宋体" w:hAnsi="宋体" w:eastAsia="宋体" w:cs="宋体"/>
          <w:color w:val="000000"/>
          <w:sz w:val="24"/>
          <w:lang w:val="en-US" w:eastAsia="zh-CN"/>
        </w:rPr>
        <w:t>根据新一代核心项目群的架构演进与业务需求，对现有固定报表的后台逻辑与前台展示进行新增与优化，并对使用率较低、价值不高的报表予以评估下线，提升报表体系的实用性与维护效率</w:t>
      </w:r>
      <w:r>
        <w:rPr>
          <w:rFonts w:hint="eastAsia" w:ascii="宋体" w:hAnsi="宋体" w:eastAsia="宋体" w:cs="宋体"/>
          <w:color w:val="000000"/>
          <w:sz w:val="24"/>
          <w:lang w:eastAsia="zh-CN"/>
        </w:rPr>
        <w:t>。</w:t>
      </w:r>
    </w:p>
    <w:p>
      <w:pPr>
        <w:pStyle w:val="41"/>
        <w:numPr>
          <w:ilvl w:val="0"/>
          <w:numId w:val="3"/>
        </w:numPr>
        <w:ind w:firstLine="480" w:firstLineChars="200"/>
        <w:rPr>
          <w:rFonts w:hint="default"/>
          <w:lang w:val="en-US" w:eastAsia="zh-CN"/>
        </w:rPr>
      </w:pPr>
      <w:r>
        <w:rPr>
          <w:rFonts w:hint="eastAsia" w:eastAsia="宋体" w:cs="宋体"/>
          <w:color w:val="000000"/>
          <w:sz w:val="24"/>
          <w:lang w:val="en-US" w:eastAsia="zh-CN"/>
        </w:rPr>
        <w:t>数据服务</w:t>
      </w:r>
      <w:r>
        <w:rPr>
          <w:rFonts w:hint="eastAsia" w:ascii="宋体" w:hAnsi="宋体" w:eastAsia="宋体" w:cs="宋体"/>
          <w:color w:val="000000"/>
          <w:sz w:val="24"/>
          <w:lang w:val="en-US" w:eastAsia="zh-CN"/>
        </w:rPr>
        <w:t>功能：按照新一代核心系统项目群的下游系统需求，对大数据应用平台向外部系统提供的数据内容进行扩展与优化，支持批量交换模式，确保数据供给的准确性、及时性与一致性</w:t>
      </w:r>
      <w:r>
        <w:rPr>
          <w:rFonts w:hint="eastAsia" w:ascii="宋体" w:hAnsi="宋体" w:eastAsia="宋体" w:cs="宋体"/>
          <w:lang w:val="en-US" w:eastAsia="zh-CN"/>
        </w:rPr>
        <w:t>。</w:t>
      </w:r>
    </w:p>
    <w:p>
      <w:pPr>
        <w:pStyle w:val="41"/>
        <w:numPr>
          <w:ilvl w:val="0"/>
          <w:numId w:val="3"/>
        </w:numPr>
        <w:ind w:firstLine="480" w:firstLineChars="200"/>
        <w:rPr>
          <w:rFonts w:hint="default"/>
          <w:lang w:val="en-US" w:eastAsia="zh-CN"/>
        </w:rPr>
      </w:pPr>
      <w:r>
        <w:rPr>
          <w:rFonts w:hint="eastAsia"/>
          <w:lang w:val="en-US" w:eastAsia="zh-CN"/>
        </w:rPr>
        <w:t>灵活查询可视化功能：基于统一数据模型，围绕存款、信贷、支付、客户、核算、金融市场、贸易金融等约15个业务主题构建业务视图；在业务报表平台中设立主题化分析模块，支持即席查询、多维透视分析、自助式仪表盘等可视化功能，强化可视化交互体验，提升业务人员自主用数能力</w:t>
      </w:r>
      <w:r>
        <w:rPr>
          <w:rFonts w:hint="eastAsia" w:ascii="宋体" w:hAnsi="宋体" w:eastAsia="宋体" w:cs="宋体"/>
          <w:color w:val="000000"/>
          <w:sz w:val="24"/>
          <w:lang w:eastAsia="zh-CN"/>
        </w:rPr>
        <w:t>。</w:t>
      </w:r>
    </w:p>
    <w:p>
      <w:pPr>
        <w:pStyle w:val="41"/>
        <w:numPr>
          <w:ilvl w:val="0"/>
          <w:numId w:val="3"/>
        </w:numPr>
        <w:ind w:firstLine="480" w:firstLineChars="200"/>
        <w:rPr>
          <w:rFonts w:hint="default"/>
          <w:lang w:val="en-US" w:eastAsia="zh-CN"/>
        </w:rPr>
      </w:pPr>
      <w:r>
        <w:rPr>
          <w:rFonts w:hint="eastAsia"/>
        </w:rPr>
        <w:t>字段级数据血缘分析</w:t>
      </w:r>
      <w:r>
        <w:rPr>
          <w:rFonts w:hint="eastAsia"/>
          <w:lang w:val="en-US" w:eastAsia="zh-CN"/>
        </w:rPr>
        <w:t>功能</w:t>
      </w:r>
      <w:r>
        <w:rPr>
          <w:rFonts w:hint="eastAsia"/>
          <w:lang w:eastAsia="zh-CN"/>
        </w:rPr>
        <w:t>：</w:t>
      </w:r>
      <w:r>
        <w:rPr>
          <w:rFonts w:hint="default"/>
          <w:lang w:val="en-US"/>
        </w:rPr>
        <w:t>实现数据字段从源头</w:t>
      </w:r>
      <w:r>
        <w:rPr>
          <w:rFonts w:hint="eastAsia"/>
          <w:lang w:val="en-US" w:eastAsia="zh-CN"/>
        </w:rPr>
        <w:t>接入</w:t>
      </w:r>
      <w:r>
        <w:rPr>
          <w:rFonts w:hint="default"/>
          <w:lang w:val="en-US"/>
        </w:rPr>
        <w:t>到最终消费全过程的追踪与管理，涵盖数据来源追溯、转换过程记录、使用情况监控、影响范围分析、数据质量保障、分级分类支持及开发辅助等功能，提升数据透明度与治理水平</w:t>
      </w:r>
      <w:r>
        <w:rPr>
          <w:rFonts w:hint="eastAsia" w:ascii="宋体" w:hAnsi="宋体" w:eastAsia="宋体" w:cs="宋体"/>
          <w:b w:val="0"/>
          <w:color w:val="000000" w:themeColor="text1"/>
          <w:sz w:val="24"/>
          <w:lang w:val="en-US" w:eastAsia="zh-CN"/>
          <w14:textFill>
            <w14:solidFill>
              <w14:schemeClr w14:val="tx1"/>
            </w14:solidFill>
          </w14:textFill>
        </w:rPr>
        <w:t>。</w:t>
      </w:r>
    </w:p>
    <w:p>
      <w:pPr>
        <w:keepNext w:val="0"/>
        <w:keepLines w:val="0"/>
        <w:widowControl/>
        <w:suppressLineNumbers w:val="0"/>
        <w:spacing w:before="0" w:beforeAutospacing="0" w:after="0" w:afterAutospacing="0" w:line="440" w:lineRule="exact"/>
        <w:ind w:left="0" w:right="0" w:firstLine="480" w:firstLineChars="200"/>
        <w:jc w:val="both"/>
        <w:rPr>
          <w:rFonts w:hint="eastAsia" w:ascii="宋体" w:hAnsi="宋体" w:eastAsia="宋体" w:cs="宋体"/>
          <w:sz w:val="24"/>
        </w:rPr>
      </w:pPr>
      <w:r>
        <w:rPr>
          <w:rFonts w:hint="eastAsia" w:ascii="宋体" w:hAnsi="宋体" w:eastAsia="宋体" w:cs="宋体"/>
          <w:kern w:val="2"/>
          <w:sz w:val="24"/>
          <w:szCs w:val="24"/>
          <w:lang w:val="en-US" w:eastAsia="zh-CN" w:bidi="ar"/>
        </w:rPr>
        <w:t>项目合作以总包形式开展，按照项目目标完成软件研发实施，根据项目各阶段完成情况据实结算，供应商在本次项目实施过程中不得对项目进行分包及转包。</w:t>
      </w:r>
    </w:p>
    <w:p>
      <w:pPr>
        <w:keepNext w:val="0"/>
        <w:keepLines w:val="0"/>
        <w:widowControl/>
        <w:suppressLineNumbers w:val="0"/>
        <w:spacing w:before="0" w:beforeAutospacing="0" w:after="0" w:afterAutospacing="0" w:line="440" w:lineRule="exact"/>
        <w:ind w:left="0" w:right="0" w:firstLine="480" w:firstLineChars="200"/>
        <w:jc w:val="both"/>
        <w:rPr>
          <w:rFonts w:hint="eastAsia" w:ascii="宋体" w:hAnsi="宋体" w:eastAsia="宋体" w:cs="宋体"/>
          <w:sz w:val="24"/>
        </w:rPr>
      </w:pPr>
      <w:r>
        <w:rPr>
          <w:rFonts w:hint="eastAsia" w:ascii="宋体" w:hAnsi="宋体" w:eastAsia="宋体" w:cs="宋体"/>
          <w:kern w:val="2"/>
          <w:sz w:val="24"/>
          <w:szCs w:val="24"/>
          <w:lang w:val="en-US" w:eastAsia="zh-CN" w:bidi="ar"/>
        </w:rPr>
        <w:t>项目工作地点为XIB、LIB、CYB或</w:t>
      </w:r>
      <w:r>
        <w:rPr>
          <w:rFonts w:hint="eastAsia" w:ascii="宋体" w:hAnsi="宋体" w:eastAsia="宋体" w:cs="宋体"/>
          <w:sz w:val="24"/>
          <w:lang w:bidi="ar"/>
        </w:rPr>
        <w:t>集友科技创新（深圳）有限公司</w:t>
      </w:r>
      <w:r>
        <w:rPr>
          <w:rFonts w:hint="eastAsia" w:ascii="宋体" w:hAnsi="宋体" w:eastAsia="宋体" w:cs="宋体"/>
          <w:kern w:val="2"/>
          <w:sz w:val="24"/>
          <w:szCs w:val="24"/>
          <w:lang w:val="en-US" w:eastAsia="zh-CN" w:bidi="ar"/>
        </w:rPr>
        <w:t>下辖的境内外机构所在地，具体地点由征集方决定。</w:t>
      </w:r>
    </w:p>
    <w:p>
      <w:pPr>
        <w:keepNext w:val="0"/>
        <w:keepLines w:val="0"/>
        <w:widowControl/>
        <w:numPr>
          <w:ilvl w:val="0"/>
          <w:numId w:val="0"/>
        </w:numPr>
        <w:suppressLineNumbers w:val="0"/>
        <w:spacing w:before="0" w:beforeAutospacing="0" w:after="0" w:afterAutospacing="0" w:line="440" w:lineRule="exact"/>
        <w:ind w:left="0" w:right="0" w:firstLine="482" w:firstLineChars="200"/>
        <w:jc w:val="both"/>
        <w:outlineLvl w:val="1"/>
        <w:rPr>
          <w:rFonts w:hint="default" w:ascii="宋体" w:hAnsi="宋体" w:eastAsia="宋体" w:cs="宋体"/>
          <w:sz w:val="24"/>
          <w:lang w:val="en-US"/>
        </w:rPr>
      </w:pPr>
      <w:r>
        <w:rPr>
          <w:rFonts w:hint="eastAsia" w:ascii="宋体" w:hAnsi="宋体" w:eastAsia="宋体" w:cs="宋体"/>
          <w:b/>
          <w:bCs/>
          <w:kern w:val="2"/>
          <w:sz w:val="24"/>
          <w:szCs w:val="24"/>
          <w:lang w:val="en-US" w:eastAsia="zh-CN" w:bidi="ar"/>
        </w:rPr>
        <w:t>2. </w:t>
      </w:r>
      <w:r>
        <w:rPr>
          <w:rStyle w:val="11"/>
          <w:rFonts w:hint="eastAsia" w:ascii="宋体" w:hAnsi="宋体" w:eastAsia="宋体" w:cs="宋体"/>
          <w:kern w:val="0"/>
          <w:sz w:val="24"/>
          <w:szCs w:val="24"/>
          <w:lang w:val="en-US" w:eastAsia="zh-CN" w:bidi="ar"/>
        </w:rPr>
        <w:t>技术要求:</w:t>
      </w:r>
    </w:p>
    <w:p>
      <w:pPr>
        <w:keepNext w:val="0"/>
        <w:keepLines w:val="0"/>
        <w:widowControl/>
        <w:suppressLineNumbers w:val="0"/>
        <w:spacing w:before="0" w:beforeAutospacing="0" w:after="0" w:afterAutospacing="0" w:line="440" w:lineRule="exact"/>
        <w:ind w:left="0" w:leftChars="0" w:right="0" w:firstLine="480" w:firstLineChars="200"/>
        <w:jc w:val="both"/>
        <w:rPr>
          <w:rFonts w:hint="eastAsia" w:ascii="宋体" w:hAnsi="宋体" w:eastAsia="宋体" w:cs="宋体"/>
          <w:sz w:val="24"/>
        </w:rPr>
      </w:pPr>
      <w:r>
        <w:rPr>
          <w:rFonts w:hint="eastAsia" w:ascii="宋体" w:hAnsi="宋体" w:eastAsia="宋体" w:cs="宋体"/>
          <w:kern w:val="2"/>
          <w:sz w:val="24"/>
          <w:szCs w:val="24"/>
          <w:lang w:val="en-US" w:eastAsia="zh-CN" w:bidi="ar"/>
        </w:rPr>
        <w:t>2.1.</w:t>
      </w:r>
      <w:r>
        <w:rPr>
          <w:rFonts w:hint="eastAsia" w:ascii="宋体" w:hAnsi="宋体" w:eastAsia="宋体" w:cs="宋体"/>
          <w:b/>
          <w:bCs/>
          <w:kern w:val="2"/>
          <w:sz w:val="24"/>
          <w:szCs w:val="24"/>
          <w:lang w:val="en-US" w:eastAsia="zh-CN" w:bidi="ar"/>
        </w:rPr>
        <w:t>国产化</w:t>
      </w:r>
      <w:r>
        <w:rPr>
          <w:rFonts w:hint="eastAsia" w:ascii="宋体" w:hAnsi="宋体" w:eastAsia="宋体" w:cs="宋体"/>
          <w:b/>
          <w:bCs/>
          <w:sz w:val="24"/>
          <w:lang w:bidi="ar"/>
        </w:rPr>
        <w:t>信创</w:t>
      </w:r>
      <w:r>
        <w:rPr>
          <w:rFonts w:hint="eastAsia" w:ascii="宋体" w:hAnsi="宋体" w:eastAsia="宋体" w:cs="宋体"/>
          <w:b/>
          <w:bCs/>
          <w:sz w:val="24"/>
          <w:lang w:val="en-US" w:eastAsia="zh-CN" w:bidi="ar"/>
        </w:rPr>
        <w:t>要求</w:t>
      </w:r>
      <w:r>
        <w:rPr>
          <w:rFonts w:hint="eastAsia" w:ascii="宋体" w:hAnsi="宋体" w:eastAsia="宋体" w:cs="宋体"/>
          <w:b/>
          <w:bCs/>
          <w:kern w:val="2"/>
          <w:sz w:val="24"/>
          <w:szCs w:val="24"/>
          <w:lang w:val="en-US" w:eastAsia="zh-CN" w:bidi="ar"/>
        </w:rPr>
        <w:t>：</w:t>
      </w:r>
      <w:r>
        <w:rPr>
          <w:rFonts w:hint="eastAsia" w:ascii="宋体" w:hAnsi="宋体" w:eastAsia="宋体" w:cs="宋体"/>
          <w:b w:val="0"/>
          <w:bCs w:val="0"/>
          <w:sz w:val="24"/>
          <w:lang w:val="en-US" w:eastAsia="zh-CN" w:bidi="ar"/>
        </w:rPr>
        <w:t>产品需满足在全栈国产化基础设施环境中进行部署实施，包括但不限于服务器、操作系统、数据库、中间件等</w:t>
      </w:r>
      <w:r>
        <w:rPr>
          <w:rFonts w:hint="eastAsia" w:ascii="宋体" w:hAnsi="宋体" w:eastAsia="宋体" w:cs="宋体"/>
          <w:kern w:val="2"/>
          <w:sz w:val="24"/>
          <w:szCs w:val="24"/>
          <w:lang w:val="en-US" w:eastAsia="zh-CN" w:bidi="ar"/>
        </w:rPr>
        <w:t>。</w:t>
      </w:r>
    </w:p>
    <w:p>
      <w:pPr>
        <w:keepNext w:val="0"/>
        <w:keepLines w:val="0"/>
        <w:widowControl/>
        <w:suppressLineNumbers w:val="0"/>
        <w:spacing w:before="0" w:beforeAutospacing="0" w:after="0" w:afterAutospacing="0" w:line="440" w:lineRule="exact"/>
        <w:ind w:left="0" w:right="0" w:firstLine="480" w:firstLineChars="200"/>
        <w:jc w:val="both"/>
        <w:rPr>
          <w:rFonts w:hint="eastAsia" w:ascii="宋体" w:hAnsi="宋体" w:eastAsia="宋体" w:cs="宋体"/>
          <w:sz w:val="24"/>
        </w:rPr>
      </w:pPr>
      <w:r>
        <w:rPr>
          <w:rFonts w:hint="eastAsia" w:ascii="宋体" w:hAnsi="宋体" w:eastAsia="宋体" w:cs="宋体"/>
          <w:kern w:val="2"/>
          <w:sz w:val="24"/>
          <w:szCs w:val="24"/>
          <w:lang w:val="en-US" w:eastAsia="zh-CN" w:bidi="ar"/>
        </w:rPr>
        <w:t>2.2.</w:t>
      </w:r>
      <w:r>
        <w:rPr>
          <w:rFonts w:hint="eastAsia" w:ascii="宋体" w:hAnsi="宋体" w:eastAsia="宋体" w:cs="宋体"/>
          <w:b/>
          <w:bCs/>
          <w:kern w:val="2"/>
          <w:sz w:val="24"/>
          <w:szCs w:val="24"/>
          <w:lang w:val="en-US" w:eastAsia="zh-CN" w:bidi="ar"/>
        </w:rPr>
        <w:t>数据治理要求：</w:t>
      </w:r>
      <w:r>
        <w:rPr>
          <w:rFonts w:hint="eastAsia" w:ascii="宋体" w:hAnsi="宋体" w:eastAsia="宋体" w:cs="宋体"/>
          <w:sz w:val="24"/>
          <w:lang w:bidi="ar"/>
        </w:rPr>
        <w:t>系统在设计与实施过程中全面落地</w:t>
      </w:r>
      <w:r>
        <w:rPr>
          <w:rFonts w:hint="eastAsia" w:ascii="宋体" w:hAnsi="宋体" w:eastAsia="宋体" w:cs="宋体"/>
          <w:sz w:val="24"/>
          <w:lang w:val="en-US" w:eastAsia="zh-CN" w:bidi="ar"/>
        </w:rPr>
        <w:t>我行</w:t>
      </w:r>
      <w:r>
        <w:rPr>
          <w:rFonts w:hint="eastAsia" w:ascii="宋体" w:hAnsi="宋体" w:eastAsia="宋体" w:cs="宋体"/>
          <w:sz w:val="24"/>
          <w:lang w:bidi="ar"/>
        </w:rPr>
        <w:t>数据标准化要求</w:t>
      </w:r>
      <w:r>
        <w:rPr>
          <w:rFonts w:hint="eastAsia" w:ascii="宋体" w:hAnsi="宋体" w:eastAsia="宋体" w:cs="宋体"/>
          <w:sz w:val="24"/>
          <w:lang w:eastAsia="zh-CN" w:bidi="ar"/>
        </w:rPr>
        <w:t>、</w:t>
      </w:r>
      <w:r>
        <w:rPr>
          <w:rFonts w:hint="eastAsia" w:ascii="宋体" w:hAnsi="宋体" w:eastAsia="宋体" w:cs="宋体"/>
          <w:sz w:val="24"/>
          <w:lang w:val="en-US" w:eastAsia="zh-CN" w:bidi="ar"/>
        </w:rPr>
        <w:t>元数据管理要求、数据模型管理要求</w:t>
      </w:r>
      <w:r>
        <w:rPr>
          <w:rFonts w:hint="eastAsia" w:ascii="宋体" w:hAnsi="宋体" w:eastAsia="宋体" w:cs="宋体"/>
          <w:b w:val="0"/>
          <w:bCs w:val="0"/>
          <w:sz w:val="24"/>
          <w:lang w:bidi="ar"/>
        </w:rPr>
        <w:t>。</w:t>
      </w:r>
    </w:p>
    <w:p>
      <w:pPr>
        <w:keepNext w:val="0"/>
        <w:keepLines w:val="0"/>
        <w:widowControl/>
        <w:numPr>
          <w:ilvl w:val="-1"/>
          <w:numId w:val="0"/>
        </w:numPr>
        <w:suppressLineNumbers w:val="0"/>
        <w:spacing w:before="0" w:beforeAutospacing="0" w:after="0" w:afterAutospacing="0" w:line="440" w:lineRule="exact"/>
        <w:ind w:left="0" w:right="0" w:firstLine="480" w:firstLineChars="200"/>
        <w:jc w:val="both"/>
        <w:outlineLvl w:val="9"/>
        <w:rPr>
          <w:rFonts w:hint="eastAsia" w:ascii="宋体" w:hAnsi="宋体" w:eastAsia="宋体" w:cs="宋体"/>
          <w:sz w:val="24"/>
        </w:rPr>
      </w:pPr>
      <w:r>
        <w:rPr>
          <w:rFonts w:hint="eastAsia" w:ascii="宋体" w:hAnsi="宋体" w:eastAsia="宋体" w:cs="宋体"/>
          <w:b w:val="0"/>
          <w:bCs w:val="0"/>
          <w:kern w:val="2"/>
          <w:sz w:val="24"/>
          <w:szCs w:val="24"/>
          <w:lang w:val="en-US" w:eastAsia="zh-CN" w:bidi="ar"/>
        </w:rPr>
        <w:t>2.3.</w:t>
      </w:r>
      <w:r>
        <w:rPr>
          <w:rFonts w:hint="eastAsia" w:ascii="宋体" w:hAnsi="宋体" w:eastAsia="宋体" w:cs="宋体"/>
          <w:kern w:val="2"/>
          <w:sz w:val="24"/>
          <w:szCs w:val="24"/>
          <w:lang w:val="en-US" w:eastAsia="zh-CN" w:bidi="ar"/>
        </w:rPr>
        <w:t>根据自主可控的原则，需开放本项目涉及的全部产品源码及客户化实施代码、设计文档等。</w:t>
      </w:r>
    </w:p>
    <w:p>
      <w:pPr>
        <w:keepNext w:val="0"/>
        <w:keepLines w:val="0"/>
        <w:widowControl/>
        <w:numPr>
          <w:ilvl w:val="0"/>
          <w:numId w:val="0"/>
        </w:numPr>
        <w:suppressLineNumbers w:val="0"/>
        <w:spacing w:before="0" w:beforeAutospacing="0" w:after="0" w:afterAutospacing="0" w:line="440" w:lineRule="exact"/>
        <w:ind w:left="0" w:right="0" w:firstLine="482" w:firstLineChars="200"/>
        <w:jc w:val="left"/>
        <w:outlineLvl w:val="1"/>
        <w:rPr>
          <w:rFonts w:hint="eastAsia" w:ascii="宋体" w:hAnsi="宋体" w:eastAsia="宋体" w:cs="宋体"/>
          <w:sz w:val="24"/>
        </w:rPr>
      </w:pPr>
      <w:r>
        <w:rPr>
          <w:rFonts w:hint="eastAsia" w:ascii="宋体" w:hAnsi="宋体" w:eastAsia="宋体" w:cs="宋体"/>
          <w:b/>
          <w:bCs/>
          <w:kern w:val="2"/>
          <w:sz w:val="24"/>
          <w:szCs w:val="24"/>
          <w:lang w:val="en-US" w:eastAsia="zh-CN" w:bidi="ar"/>
        </w:rPr>
        <w:t>3. </w:t>
      </w:r>
      <w:r>
        <w:rPr>
          <w:rStyle w:val="11"/>
          <w:rFonts w:hint="eastAsia" w:ascii="宋体" w:hAnsi="宋体" w:eastAsia="宋体" w:cs="宋体"/>
          <w:kern w:val="0"/>
          <w:sz w:val="24"/>
          <w:szCs w:val="24"/>
          <w:lang w:val="en-US" w:eastAsia="zh-CN" w:bidi="ar"/>
        </w:rPr>
        <w:t>供应商资质要求</w:t>
      </w:r>
    </w:p>
    <w:p>
      <w:pPr>
        <w:keepNext w:val="0"/>
        <w:keepLines w:val="0"/>
        <w:widowControl/>
        <w:suppressLineNumbers w:val="0"/>
        <w:spacing w:before="0" w:beforeAutospacing="0" w:after="0" w:afterAutospacing="0" w:line="440" w:lineRule="exact"/>
        <w:ind w:left="6" w:right="0" w:firstLine="480" w:firstLineChars="200"/>
        <w:jc w:val="left"/>
        <w:rPr>
          <w:rFonts w:hint="eastAsia" w:ascii="宋体" w:hAnsi="宋体" w:eastAsia="宋体" w:cs="宋体"/>
          <w:sz w:val="24"/>
        </w:rPr>
      </w:pPr>
      <w:r>
        <w:rPr>
          <w:rFonts w:hint="eastAsia" w:ascii="宋体" w:hAnsi="宋体" w:eastAsia="宋体" w:cs="宋体"/>
          <w:kern w:val="0"/>
          <w:sz w:val="24"/>
          <w:szCs w:val="24"/>
          <w:lang w:val="en-US" w:eastAsia="zh-CN" w:bidi="ar"/>
        </w:rPr>
        <w:t>3.1 企业成立3年及以上，</w:t>
      </w:r>
      <w:r>
        <w:rPr>
          <w:rFonts w:hint="eastAsia" w:ascii="Times New Roman" w:hAnsi="Times New Roman"/>
          <w:sz w:val="24"/>
          <w:lang w:val="en-US" w:eastAsia="zh-CN"/>
        </w:rPr>
        <w:t>近三年财务稳健，可稳定提供服务，</w:t>
      </w:r>
      <w:r>
        <w:rPr>
          <w:rFonts w:hint="eastAsia" w:ascii="宋体" w:hAnsi="宋体" w:eastAsia="宋体" w:cs="宋体"/>
          <w:kern w:val="0"/>
          <w:sz w:val="24"/>
          <w:szCs w:val="24"/>
          <w:lang w:val="en-US" w:eastAsia="zh-CN" w:bidi="ar"/>
        </w:rPr>
        <w:t>不存在被监管机构禁止或审慎发展的情形，未处于限制开展生产经营活动、责令停产停业、责令关闭、限制从业等重大行政处罚期内。</w:t>
      </w:r>
    </w:p>
    <w:p>
      <w:pPr>
        <w:keepNext w:val="0"/>
        <w:keepLines w:val="0"/>
        <w:widowControl/>
        <w:spacing w:line="440" w:lineRule="exact"/>
        <w:ind w:left="6" w:firstLine="480" w:firstLineChars="200"/>
        <w:jc w:val="left"/>
        <w:outlineLvl w:val="9"/>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3.2 近五年（2021年1月1日至今，以合同签订时间为准）具有至少1个国内资产规模3000亿元人民币（截至2025年12月）以上银行</w:t>
      </w:r>
      <w:r>
        <w:rPr>
          <w:rFonts w:hint="default" w:ascii="宋体" w:hAnsi="宋体" w:eastAsia="宋体" w:cs="宋体"/>
          <w:kern w:val="0"/>
          <w:sz w:val="24"/>
          <w:szCs w:val="24"/>
          <w:lang w:val="en-US" w:eastAsia="zh-CN" w:bidi="ar"/>
        </w:rPr>
        <w:t>大数据应用平台</w:t>
      </w:r>
      <w:r>
        <w:rPr>
          <w:rFonts w:hint="eastAsia" w:ascii="宋体" w:hAnsi="宋体" w:eastAsia="宋体" w:cs="宋体"/>
          <w:kern w:val="0"/>
          <w:sz w:val="24"/>
          <w:szCs w:val="24"/>
          <w:lang w:val="en-US" w:eastAsia="zh-CN" w:bidi="ar"/>
        </w:rPr>
        <w:t>或数据仓库</w:t>
      </w:r>
      <w:r>
        <w:rPr>
          <w:rFonts w:hint="default" w:ascii="宋体" w:hAnsi="宋体" w:eastAsia="宋体" w:cs="宋体"/>
          <w:kern w:val="0"/>
          <w:sz w:val="24"/>
          <w:szCs w:val="24"/>
          <w:lang w:val="en-US" w:eastAsia="zh-CN" w:bidi="ar"/>
        </w:rPr>
        <w:t>配套新一代核心系统项目群改造项目</w:t>
      </w:r>
      <w:r>
        <w:rPr>
          <w:rFonts w:hint="eastAsia" w:ascii="宋体" w:hAnsi="宋体" w:eastAsia="宋体" w:cs="宋体"/>
          <w:kern w:val="0"/>
          <w:sz w:val="24"/>
          <w:szCs w:val="24"/>
          <w:lang w:val="en-US" w:eastAsia="zh-CN" w:bidi="ar"/>
        </w:rPr>
        <w:t>建设案例</w:t>
      </w:r>
      <w:r>
        <w:rPr>
          <w:rFonts w:hint="eastAsia" w:ascii="宋体" w:hAnsi="宋体" w:eastAsia="宋体" w:cs="宋体"/>
          <w:kern w:val="0"/>
          <w:sz w:val="24"/>
          <w:szCs w:val="24"/>
          <w:highlight w:val="none"/>
          <w:lang w:val="en-US" w:eastAsia="zh-CN" w:bidi="ar"/>
        </w:rPr>
        <w:t>（提供合同复印件，合同上须能清晰体现服务内容，合同中需包含</w:t>
      </w:r>
      <w:r>
        <w:rPr>
          <w:rFonts w:hint="default" w:ascii="宋体" w:hAnsi="宋体" w:eastAsia="宋体" w:cs="宋体"/>
          <w:kern w:val="0"/>
          <w:sz w:val="24"/>
          <w:szCs w:val="24"/>
          <w:lang w:val="en-US" w:eastAsia="zh-CN" w:bidi="ar"/>
        </w:rPr>
        <w:t>大数据应用平台</w:t>
      </w:r>
      <w:r>
        <w:rPr>
          <w:rFonts w:hint="eastAsia" w:ascii="宋体" w:hAnsi="宋体" w:eastAsia="宋体" w:cs="宋体"/>
          <w:kern w:val="0"/>
          <w:sz w:val="24"/>
          <w:szCs w:val="24"/>
          <w:lang w:val="en-US" w:eastAsia="zh-CN" w:bidi="ar"/>
        </w:rPr>
        <w:t>或数据仓库</w:t>
      </w:r>
      <w:r>
        <w:rPr>
          <w:rFonts w:hint="default" w:ascii="宋体" w:hAnsi="宋体" w:eastAsia="宋体" w:cs="宋体"/>
          <w:kern w:val="0"/>
          <w:sz w:val="24"/>
          <w:szCs w:val="24"/>
          <w:lang w:val="en-US" w:eastAsia="zh-CN" w:bidi="ar"/>
        </w:rPr>
        <w:t>配套新一代核心系统</w:t>
      </w:r>
      <w:r>
        <w:rPr>
          <w:rFonts w:hint="eastAsia" w:ascii="宋体" w:hAnsi="宋体" w:eastAsia="宋体" w:cs="宋体"/>
          <w:kern w:val="0"/>
          <w:sz w:val="24"/>
          <w:szCs w:val="24"/>
          <w:lang w:val="en-US" w:eastAsia="zh-CN" w:bidi="ar"/>
        </w:rPr>
        <w:t>改造</w:t>
      </w:r>
      <w:r>
        <w:rPr>
          <w:rFonts w:hint="eastAsia" w:ascii="宋体" w:hAnsi="宋体" w:eastAsia="宋体" w:cs="宋体"/>
          <w:kern w:val="0"/>
          <w:sz w:val="24"/>
          <w:szCs w:val="24"/>
          <w:highlight w:val="none"/>
          <w:lang w:val="en-US" w:eastAsia="zh-CN" w:bidi="ar"/>
        </w:rPr>
        <w:t>相关功能、合同签订时间及合同双方盖章，不符合上述要求的案例，视为无效案例）</w:t>
      </w:r>
      <w:r>
        <w:rPr>
          <w:rFonts w:hint="eastAsia" w:ascii="宋体" w:hAnsi="宋体" w:eastAsia="宋体" w:cs="宋体"/>
          <w:kern w:val="0"/>
          <w:sz w:val="24"/>
          <w:szCs w:val="24"/>
          <w:lang w:val="en-US" w:eastAsia="zh-CN" w:bidi="ar"/>
        </w:rPr>
        <w:t>。人力开发类项目、合作开发类型项目、咨询类项目、维保类项目、升级改造类项目等项目为无效案例。</w:t>
      </w:r>
    </w:p>
    <w:p>
      <w:pPr>
        <w:keepNext w:val="0"/>
        <w:keepLines w:val="0"/>
        <w:widowControl/>
        <w:spacing w:line="440" w:lineRule="exact"/>
        <w:ind w:left="6" w:firstLine="480" w:firstLineChars="200"/>
        <w:jc w:val="left"/>
        <w:outlineLvl w:val="9"/>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 xml:space="preserve">3.3  </w:t>
      </w:r>
      <w:r>
        <w:rPr>
          <w:rFonts w:hint="eastAsia" w:ascii="宋体" w:hAnsi="宋体" w:eastAsia="宋体" w:cs="宋体"/>
          <w:b w:val="0"/>
          <w:bCs w:val="0"/>
          <w:sz w:val="24"/>
        </w:rPr>
        <w:t>通过软件能力成熟度CMMI资质认证（</w:t>
      </w:r>
      <w:r>
        <w:rPr>
          <w:rFonts w:hint="eastAsia" w:ascii="宋体" w:hAnsi="宋体" w:eastAsia="宋体" w:cs="宋体"/>
          <w:b w:val="0"/>
          <w:bCs w:val="0"/>
          <w:sz w:val="24"/>
          <w:lang w:val="en-US" w:eastAsia="zh-CN"/>
        </w:rPr>
        <w:t>5</w:t>
      </w:r>
      <w:r>
        <w:rPr>
          <w:rFonts w:hint="eastAsia" w:ascii="宋体" w:hAnsi="宋体" w:eastAsia="宋体" w:cs="宋体"/>
          <w:b w:val="0"/>
          <w:bCs w:val="0"/>
          <w:sz w:val="24"/>
        </w:rPr>
        <w:t>级</w:t>
      </w:r>
      <w:r>
        <w:rPr>
          <w:rFonts w:hint="eastAsia" w:ascii="宋体" w:hAnsi="宋体" w:eastAsia="宋体" w:cs="宋体"/>
          <w:b w:val="0"/>
          <w:bCs w:val="0"/>
          <w:sz w:val="24"/>
          <w:lang w:eastAsia="zh-CN"/>
        </w:rPr>
        <w:t>）</w:t>
      </w:r>
      <w:r>
        <w:rPr>
          <w:rFonts w:hint="eastAsia" w:ascii="宋体" w:hAnsi="宋体" w:eastAsia="宋体" w:cs="宋体"/>
          <w:b w:val="0"/>
          <w:bCs w:val="0"/>
          <w:sz w:val="24"/>
        </w:rPr>
        <w:t>及以上</w:t>
      </w:r>
      <w:r>
        <w:rPr>
          <w:rFonts w:hint="eastAsia" w:ascii="宋体" w:hAnsi="宋体" w:eastAsia="宋体" w:cs="宋体"/>
          <w:b w:val="0"/>
          <w:bCs w:val="0"/>
          <w:sz w:val="24"/>
          <w:lang w:eastAsia="zh-CN"/>
        </w:rPr>
        <w:t>。</w:t>
      </w:r>
    </w:p>
    <w:p>
      <w:pPr>
        <w:keepNext w:val="0"/>
        <w:keepLines w:val="0"/>
        <w:widowControl/>
        <w:numPr>
          <w:ilvl w:val="0"/>
          <w:numId w:val="0"/>
        </w:numPr>
        <w:suppressLineNumbers w:val="0"/>
        <w:spacing w:before="0" w:beforeAutospacing="0" w:after="0" w:afterAutospacing="0" w:line="440" w:lineRule="exact"/>
        <w:ind w:left="567" w:right="0" w:firstLine="53" w:firstLineChars="22"/>
        <w:jc w:val="both"/>
        <w:outlineLvl w:val="0"/>
        <w:rPr>
          <w:rFonts w:hint="eastAsia" w:ascii="宋体" w:hAnsi="宋体" w:eastAsia="宋体" w:cs="宋体"/>
          <w:b/>
          <w:bCs/>
          <w:sz w:val="24"/>
          <w:lang w:val="en-US" w:bidi="ar"/>
        </w:rPr>
      </w:pPr>
      <w:r>
        <w:rPr>
          <w:rFonts w:hint="eastAsia" w:ascii="宋体" w:hAnsi="宋体" w:eastAsia="宋体" w:cs="宋体"/>
          <w:b/>
          <w:bCs/>
          <w:kern w:val="2"/>
          <w:sz w:val="24"/>
          <w:szCs w:val="24"/>
          <w:lang w:val="en-US" w:eastAsia="zh-CN" w:bidi="ar"/>
        </w:rPr>
        <w:t>二、报名要求</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firstLine="420" w:firstLineChars="0"/>
        <w:jc w:val="left"/>
        <w:textAlignment w:val="auto"/>
        <w:outlineLvl w:val="1"/>
        <w:rPr>
          <w:rFonts w:hint="eastAsia" w:ascii="宋体" w:hAnsi="宋体" w:eastAsia="宋体" w:cs="宋体"/>
          <w:b w:val="0"/>
          <w:bCs w:val="0"/>
          <w:kern w:val="2"/>
          <w:sz w:val="24"/>
          <w:szCs w:val="24"/>
          <w:lang w:val="en-US" w:eastAsia="zh-CN" w:bidi="ar"/>
        </w:rPr>
      </w:pPr>
      <w:r>
        <w:rPr>
          <w:rFonts w:hint="eastAsia" w:ascii="宋体" w:hAnsi="宋体" w:eastAsia="宋体" w:cs="宋体"/>
          <w:b w:val="0"/>
          <w:bCs w:val="0"/>
          <w:kern w:val="2"/>
          <w:sz w:val="24"/>
          <w:szCs w:val="24"/>
          <w:lang w:val="en-US" w:eastAsia="zh-CN" w:bidi="ar"/>
        </w:rPr>
        <w:t>1. 为中华人民共和国境内合法注册的独立法人，具有独立承担民事责任的能力，拥有合法有效的工商营业执照，且经营范围包含本次采购需求。</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firstLine="420" w:firstLineChars="0"/>
        <w:jc w:val="left"/>
        <w:textAlignment w:val="auto"/>
        <w:outlineLvl w:val="1"/>
        <w:rPr>
          <w:rFonts w:hint="eastAsia" w:ascii="宋体" w:hAnsi="宋体" w:eastAsia="宋体" w:cs="宋体"/>
          <w:b w:val="0"/>
          <w:bCs w:val="0"/>
          <w:kern w:val="2"/>
          <w:sz w:val="24"/>
          <w:szCs w:val="24"/>
          <w:lang w:val="en-US" w:eastAsia="zh-CN" w:bidi="ar"/>
        </w:rPr>
      </w:pPr>
      <w:r>
        <w:rPr>
          <w:rFonts w:hint="eastAsia" w:ascii="宋体" w:hAnsi="宋体" w:eastAsia="宋体" w:cs="宋体"/>
          <w:b w:val="0"/>
          <w:bCs w:val="0"/>
          <w:kern w:val="2"/>
          <w:sz w:val="24"/>
          <w:szCs w:val="24"/>
          <w:lang w:val="en-US" w:eastAsia="zh-CN" w:bidi="ar"/>
        </w:rPr>
        <w:t>2. 充分理解采购需求并能够根据需求提供相应的服务。</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firstLine="420" w:firstLineChars="0"/>
        <w:jc w:val="left"/>
        <w:textAlignment w:val="auto"/>
        <w:outlineLvl w:val="1"/>
        <w:rPr>
          <w:rFonts w:hint="eastAsia" w:ascii="宋体" w:hAnsi="宋体" w:eastAsia="宋体" w:cs="宋体"/>
          <w:b w:val="0"/>
          <w:bCs w:val="0"/>
          <w:kern w:val="2"/>
          <w:sz w:val="24"/>
          <w:szCs w:val="24"/>
          <w:lang w:val="en-US" w:eastAsia="zh-CN" w:bidi="ar"/>
        </w:rPr>
      </w:pPr>
      <w:r>
        <w:rPr>
          <w:rFonts w:hint="eastAsia" w:ascii="宋体" w:hAnsi="宋体" w:eastAsia="宋体" w:cs="宋体"/>
          <w:b w:val="0"/>
          <w:bCs w:val="0"/>
          <w:kern w:val="2"/>
          <w:sz w:val="24"/>
          <w:szCs w:val="24"/>
          <w:lang w:val="en-US" w:eastAsia="zh-CN" w:bidi="ar"/>
        </w:rPr>
        <w:t>3. 遵守国家有关法律、法规，具有良好的商业信誉和健全的财务会计制度。</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firstLine="420" w:firstLineChars="0"/>
        <w:jc w:val="left"/>
        <w:textAlignment w:val="auto"/>
        <w:outlineLvl w:val="1"/>
        <w:rPr>
          <w:rFonts w:hint="default" w:ascii="宋体" w:hAnsi="宋体" w:eastAsia="宋体" w:cs="宋体"/>
          <w:b w:val="0"/>
          <w:bCs w:val="0"/>
          <w:kern w:val="2"/>
          <w:sz w:val="24"/>
          <w:szCs w:val="24"/>
          <w:lang w:val="en-US" w:eastAsia="zh-CN" w:bidi="ar"/>
        </w:rPr>
      </w:pPr>
      <w:r>
        <w:rPr>
          <w:rFonts w:hint="eastAsia" w:ascii="宋体" w:hAnsi="宋体" w:eastAsia="宋体" w:cs="宋体"/>
          <w:b w:val="0"/>
          <w:bCs w:val="0"/>
          <w:kern w:val="2"/>
          <w:sz w:val="24"/>
          <w:szCs w:val="24"/>
          <w:lang w:val="en-US" w:eastAsia="zh-CN" w:bidi="ar"/>
        </w:rPr>
        <w:t>4. 截至征集时间，未被“信用中国”网站（http://www.creditchina.gov.cn）列入失信被执行人、重大税收违法失信主体、政府采购严重违法失信行为记录名单（提供“信用中国”网站查询截图），未被“国家企业信用信息公示系统（</w:t>
      </w:r>
      <w:r>
        <w:rPr>
          <w:rFonts w:hint="eastAsia" w:ascii="宋体" w:hAnsi="宋体" w:eastAsia="宋体" w:cs="宋体"/>
          <w:color w:val="auto"/>
          <w:sz w:val="24"/>
          <w:szCs w:val="24"/>
          <w:highlight w:val="none"/>
          <w:u w:val="none"/>
          <w:lang w:val="en-US" w:eastAsia="zh-CN"/>
        </w:rPr>
        <w:t>https://www.gsxt.gov.cn/index.html</w:t>
      </w:r>
      <w:r>
        <w:rPr>
          <w:rFonts w:hint="eastAsia" w:ascii="宋体" w:hAnsi="宋体" w:eastAsia="宋体" w:cs="宋体"/>
          <w:b w:val="0"/>
          <w:bCs w:val="0"/>
          <w:kern w:val="2"/>
          <w:sz w:val="24"/>
          <w:szCs w:val="24"/>
          <w:lang w:val="en-US" w:eastAsia="zh-CN" w:bidi="ar"/>
        </w:rPr>
        <w:t>）”列入严重违法失信企业名单、经营异常名录（提供“国家企业信用信息公示系统”网站查询截图），不在厦门国际银行供应商黑名单中。</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firstLine="420" w:firstLineChars="0"/>
        <w:jc w:val="left"/>
        <w:textAlignment w:val="auto"/>
        <w:outlineLvl w:val="1"/>
        <w:rPr>
          <w:rFonts w:hint="eastAsia" w:ascii="宋体" w:hAnsi="宋体" w:eastAsia="宋体" w:cs="宋体"/>
          <w:b w:val="0"/>
          <w:bCs w:val="0"/>
          <w:kern w:val="2"/>
          <w:sz w:val="24"/>
          <w:szCs w:val="24"/>
          <w:lang w:val="en-US" w:eastAsia="zh-CN" w:bidi="ar"/>
        </w:rPr>
      </w:pPr>
      <w:r>
        <w:rPr>
          <w:rFonts w:hint="eastAsia" w:ascii="宋体" w:hAnsi="宋体" w:eastAsia="宋体" w:cs="宋体"/>
          <w:b w:val="0"/>
          <w:bCs w:val="0"/>
          <w:kern w:val="2"/>
          <w:sz w:val="24"/>
          <w:szCs w:val="24"/>
          <w:lang w:val="en-US" w:eastAsia="zh-CN" w:bidi="ar"/>
        </w:rPr>
        <w:t>5. 经营范围经国家行政管理部门依法批准，同时获得从事行业有效执业证明、行政许可、专业资质等证照。</w:t>
      </w:r>
    </w:p>
    <w:p>
      <w:pPr>
        <w:keepNext w:val="0"/>
        <w:keepLines w:val="0"/>
        <w:widowControl/>
        <w:suppressLineNumbers w:val="0"/>
        <w:spacing w:before="0" w:beforeAutospacing="0" w:after="0" w:afterAutospacing="0" w:line="440" w:lineRule="exact"/>
        <w:ind w:left="0" w:right="0" w:firstLine="480" w:firstLineChars="200"/>
        <w:jc w:val="left"/>
        <w:rPr>
          <w:rFonts w:hint="eastAsia" w:ascii="宋体" w:hAnsi="宋体" w:eastAsia="宋体" w:cs="宋体"/>
          <w:sz w:val="24"/>
        </w:rPr>
      </w:pPr>
      <w:r>
        <w:rPr>
          <w:rFonts w:hint="eastAsia" w:ascii="宋体" w:eastAsia="宋体" w:cs="宋体"/>
          <w:b w:val="0"/>
          <w:bCs w:val="0"/>
          <w:kern w:val="2"/>
          <w:sz w:val="24"/>
          <w:szCs w:val="24"/>
          <w:lang w:val="en-US" w:eastAsia="zh-CN" w:bidi="ar"/>
        </w:rPr>
        <w:t>6. 同一法定代表人的两个及两个以上法人、母公司、全资子公司及其控股公司不得在同一次项目中参加报名。</w:t>
      </w:r>
    </w:p>
    <w:p>
      <w:pPr>
        <w:keepNext w:val="0"/>
        <w:keepLines w:val="0"/>
        <w:widowControl/>
        <w:numPr>
          <w:ilvl w:val="0"/>
          <w:numId w:val="0"/>
        </w:numPr>
        <w:suppressLineNumbers w:val="0"/>
        <w:spacing w:before="0" w:beforeAutospacing="0" w:after="0" w:afterAutospacing="0" w:line="440" w:lineRule="exact"/>
        <w:ind w:left="567" w:right="0" w:firstLine="53" w:firstLineChars="22"/>
        <w:jc w:val="both"/>
        <w:outlineLvl w:val="0"/>
        <w:rPr>
          <w:rFonts w:hint="eastAsia" w:ascii="宋体" w:hAnsi="宋体" w:eastAsia="宋体" w:cs="宋体"/>
          <w:b/>
          <w:bCs/>
          <w:sz w:val="24"/>
          <w:lang w:bidi="ar"/>
        </w:rPr>
      </w:pPr>
      <w:r>
        <w:rPr>
          <w:rFonts w:hint="eastAsia" w:ascii="宋体" w:hAnsi="宋体" w:eastAsia="宋体" w:cs="宋体"/>
          <w:b/>
          <w:bCs/>
          <w:kern w:val="2"/>
          <w:sz w:val="24"/>
          <w:szCs w:val="24"/>
          <w:lang w:val="en-US" w:eastAsia="zh-CN" w:bidi="ar"/>
        </w:rPr>
        <w:t>三、征集时间</w:t>
      </w:r>
    </w:p>
    <w:p>
      <w:pPr>
        <w:keepNext w:val="0"/>
        <w:keepLines w:val="0"/>
        <w:widowControl/>
        <w:suppressLineNumbers w:val="0"/>
        <w:spacing w:before="0" w:beforeAutospacing="0" w:after="0" w:afterAutospacing="0" w:line="440" w:lineRule="exact"/>
        <w:ind w:left="0" w:right="0" w:firstLine="600"/>
        <w:jc w:val="left"/>
        <w:rPr>
          <w:rFonts w:hint="eastAsia" w:ascii="宋体" w:hAnsi="宋体" w:eastAsia="宋体" w:cs="宋体"/>
          <w:sz w:val="24"/>
        </w:rPr>
      </w:pPr>
      <w:r>
        <w:rPr>
          <w:rFonts w:hint="eastAsia" w:ascii="宋体" w:hAnsi="宋体" w:eastAsia="宋体" w:cs="宋体"/>
          <w:kern w:val="2"/>
          <w:sz w:val="24"/>
          <w:szCs w:val="24"/>
          <w:lang w:val="en-US" w:eastAsia="zh-CN" w:bidi="ar"/>
        </w:rPr>
        <w:t>本次供应商征集自即日起至2026年6月29日23：59止。</w:t>
      </w:r>
    </w:p>
    <w:p>
      <w:pPr>
        <w:keepNext w:val="0"/>
        <w:keepLines w:val="0"/>
        <w:widowControl/>
        <w:numPr>
          <w:ilvl w:val="0"/>
          <w:numId w:val="0"/>
        </w:numPr>
        <w:suppressLineNumbers w:val="0"/>
        <w:spacing w:before="0" w:beforeAutospacing="0" w:after="0" w:afterAutospacing="0" w:line="440" w:lineRule="exact"/>
        <w:ind w:left="567" w:right="0" w:firstLine="53" w:firstLineChars="22"/>
        <w:jc w:val="both"/>
        <w:outlineLvl w:val="0"/>
        <w:rPr>
          <w:rFonts w:hint="eastAsia" w:ascii="宋体" w:hAnsi="宋体" w:eastAsia="宋体" w:cs="宋体"/>
          <w:b/>
          <w:bCs/>
          <w:sz w:val="24"/>
          <w:lang w:bidi="ar"/>
        </w:rPr>
      </w:pPr>
      <w:r>
        <w:rPr>
          <w:rFonts w:hint="eastAsia" w:ascii="宋体" w:hAnsi="宋体" w:eastAsia="宋体" w:cs="宋体"/>
          <w:b/>
          <w:bCs/>
          <w:kern w:val="2"/>
          <w:sz w:val="24"/>
          <w:szCs w:val="24"/>
          <w:lang w:val="en-US" w:eastAsia="zh-CN" w:bidi="ar"/>
        </w:rPr>
        <w:t>四、报名方式</w:t>
      </w:r>
    </w:p>
    <w:p>
      <w:pPr>
        <w:keepNext w:val="0"/>
        <w:keepLines w:val="0"/>
        <w:widowControl w:val="0"/>
        <w:suppressLineNumbers w:val="0"/>
        <w:spacing w:before="0" w:beforeAutospacing="0" w:after="0" w:afterAutospacing="0" w:line="440" w:lineRule="exact"/>
        <w:ind w:left="0" w:right="0" w:firstLine="480" w:firstLineChars="200"/>
        <w:jc w:val="left"/>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供应商征集联系人：</w:t>
      </w:r>
      <w:r>
        <w:rPr>
          <w:rFonts w:hint="eastAsia" w:ascii="宋体" w:hAnsi="宋体" w:eastAsia="宋体" w:cs="宋体"/>
          <w:kern w:val="2"/>
          <w:sz w:val="24"/>
          <w:szCs w:val="24"/>
          <w:highlight w:val="none"/>
          <w:lang w:val="en-US" w:eastAsia="zh-CN" w:bidi="ar"/>
        </w:rPr>
        <w:t>白老师，联系电话：</w:t>
      </w:r>
      <w:r>
        <w:rPr>
          <w:rFonts w:ascii="宋体" w:hAnsi="宋体" w:eastAsia="宋体"/>
          <w:sz w:val="24"/>
          <w:szCs w:val="24"/>
          <w:highlight w:val="none"/>
        </w:rPr>
        <w:t>0592</w:t>
      </w:r>
      <w:r>
        <w:rPr>
          <w:rFonts w:hint="eastAsia" w:ascii="宋体" w:hAnsi="宋体" w:eastAsia="宋体"/>
          <w:sz w:val="24"/>
          <w:szCs w:val="24"/>
          <w:highlight w:val="none"/>
        </w:rPr>
        <w:t>-</w:t>
      </w:r>
      <w:r>
        <w:rPr>
          <w:rFonts w:ascii="宋体" w:hAnsi="宋体" w:eastAsia="宋体"/>
          <w:sz w:val="24"/>
          <w:szCs w:val="24"/>
          <w:highlight w:val="none"/>
        </w:rPr>
        <w:t>2078888</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6163</w:t>
      </w:r>
      <w:r>
        <w:rPr>
          <w:rFonts w:hint="eastAsia" w:ascii="宋体" w:hAnsi="宋体" w:eastAsia="宋体" w:cs="宋体"/>
          <w:kern w:val="2"/>
          <w:sz w:val="24"/>
          <w:szCs w:val="24"/>
          <w:highlight w:val="none"/>
          <w:lang w:val="en-US" w:eastAsia="zh-CN" w:bidi="ar"/>
        </w:rPr>
        <w:t>；马老师，</w:t>
      </w:r>
      <w:r>
        <w:rPr>
          <w:rFonts w:ascii="宋体" w:hAnsi="宋体" w:eastAsia="宋体"/>
          <w:sz w:val="24"/>
          <w:szCs w:val="24"/>
          <w:highlight w:val="none"/>
        </w:rPr>
        <w:t>0592</w:t>
      </w:r>
      <w:r>
        <w:rPr>
          <w:rFonts w:hint="eastAsia" w:ascii="宋体" w:hAnsi="宋体" w:eastAsia="宋体"/>
          <w:sz w:val="24"/>
          <w:szCs w:val="24"/>
          <w:highlight w:val="none"/>
        </w:rPr>
        <w:t>-</w:t>
      </w:r>
      <w:r>
        <w:rPr>
          <w:rFonts w:hint="eastAsia" w:ascii="宋体" w:hAnsi="宋体" w:eastAsia="宋体" w:cs="宋体"/>
          <w:i w:val="0"/>
          <w:iCs w:val="0"/>
          <w:caps w:val="0"/>
          <w:color w:val="auto"/>
          <w:spacing w:val="0"/>
          <w:sz w:val="24"/>
          <w:szCs w:val="24"/>
          <w:highlight w:val="none"/>
          <w:lang w:bidi="ar"/>
        </w:rPr>
        <w:t>7010288</w:t>
      </w:r>
      <w:r>
        <w:rPr>
          <w:rFonts w:hint="eastAsia" w:ascii="宋体" w:hAnsi="宋体" w:eastAsia="宋体" w:cs="宋体"/>
          <w:kern w:val="2"/>
          <w:sz w:val="24"/>
          <w:szCs w:val="24"/>
          <w:highlight w:val="none"/>
          <w:lang w:val="en-US" w:eastAsia="zh-CN" w:bidi="ar"/>
        </w:rPr>
        <w:t>-6379。</w:t>
      </w:r>
    </w:p>
    <w:p>
      <w:pPr>
        <w:keepNext w:val="0"/>
        <w:keepLines w:val="0"/>
        <w:widowControl/>
        <w:suppressLineNumbers w:val="0"/>
        <w:spacing w:before="0" w:beforeAutospacing="0" w:after="0" w:afterAutospacing="0" w:line="440" w:lineRule="exact"/>
        <w:ind w:left="0" w:right="0" w:firstLine="480" w:firstLineChars="200"/>
        <w:jc w:val="left"/>
        <w:rPr>
          <w:rFonts w:hint="eastAsia" w:ascii="宋体" w:hAnsi="宋体" w:eastAsia="宋体" w:cs="宋体"/>
          <w:sz w:val="24"/>
        </w:rPr>
      </w:pPr>
      <w:r>
        <w:rPr>
          <w:rFonts w:hint="eastAsia" w:ascii="宋体" w:hAnsi="宋体" w:eastAsia="宋体" w:cs="宋体"/>
          <w:kern w:val="2"/>
          <w:sz w:val="24"/>
          <w:szCs w:val="24"/>
          <w:lang w:val="en-US" w:eastAsia="zh-CN" w:bidi="ar"/>
        </w:rPr>
        <w:t>若有意向请将供应商资料于征集截止时间前提交至baiys</w:t>
      </w:r>
      <w:r>
        <w:rPr>
          <w:rFonts w:hint="eastAsia" w:ascii="宋体" w:hAnsi="宋体" w:eastAsia="宋体"/>
          <w:sz w:val="24"/>
          <w:szCs w:val="24"/>
          <w:highlight w:val="none"/>
          <w:lang w:val="en-US" w:eastAsia="zh-CN"/>
        </w:rPr>
        <w:t>@xib.com.cn、</w:t>
      </w:r>
      <w:r>
        <w:rPr>
          <w:rFonts w:hint="eastAsia" w:ascii="宋体" w:hAnsi="宋体" w:eastAsia="宋体" w:cstheme="minorBidi"/>
          <w:i w:val="0"/>
          <w:iCs w:val="0"/>
          <w:caps w:val="0"/>
          <w:color w:val="auto"/>
          <w:spacing w:val="0"/>
          <w:sz w:val="24"/>
          <w:szCs w:val="24"/>
          <w:highlight w:val="none"/>
        </w:rPr>
        <w:t>mayue@xib.com.cn</w:t>
      </w:r>
      <w:r>
        <w:rPr>
          <w:rFonts w:hint="eastAsia" w:ascii="宋体" w:hAnsi="宋体" w:eastAsia="宋体" w:cs="宋体"/>
          <w:kern w:val="2"/>
          <w:sz w:val="24"/>
          <w:szCs w:val="24"/>
          <w:lang w:val="en-US" w:eastAsia="zh-CN" w:bidi="ar"/>
        </w:rPr>
        <w:t>邮箱。</w:t>
      </w:r>
      <w:r>
        <w:rPr>
          <w:rFonts w:ascii="宋体" w:hAnsi="宋体" w:eastAsia="宋体"/>
          <w:b/>
          <w:sz w:val="24"/>
          <w:szCs w:val="24"/>
        </w:rPr>
        <w:t>报名资料以指定邮箱收到为准</w:t>
      </w:r>
      <w:r>
        <w:rPr>
          <w:rFonts w:hint="eastAsia" w:ascii="宋体" w:hAnsi="宋体" w:eastAsia="宋体"/>
          <w:b/>
          <w:sz w:val="24"/>
          <w:szCs w:val="24"/>
        </w:rPr>
        <w:t>，逾期将视为报名不成功</w:t>
      </w:r>
      <w:r>
        <w:rPr>
          <w:rFonts w:ascii="宋体" w:hAnsi="宋体" w:eastAsia="宋体"/>
          <w:b/>
          <w:sz w:val="24"/>
          <w:szCs w:val="24"/>
        </w:rPr>
        <w:t>。</w:t>
      </w:r>
    </w:p>
    <w:p>
      <w:pPr>
        <w:keepNext w:val="0"/>
        <w:keepLines w:val="0"/>
        <w:widowControl/>
        <w:numPr>
          <w:ilvl w:val="0"/>
          <w:numId w:val="0"/>
        </w:numPr>
        <w:suppressLineNumbers w:val="0"/>
        <w:spacing w:before="0" w:beforeAutospacing="0" w:after="0" w:afterAutospacing="0" w:line="440" w:lineRule="exact"/>
        <w:ind w:left="567" w:right="0" w:firstLine="53" w:firstLineChars="22"/>
        <w:jc w:val="both"/>
        <w:outlineLvl w:val="0"/>
        <w:rPr>
          <w:rFonts w:hint="eastAsia" w:ascii="宋体" w:hAnsi="宋体" w:eastAsia="宋体" w:cs="宋体"/>
          <w:b/>
          <w:bCs/>
          <w:sz w:val="24"/>
          <w:lang w:bidi="ar"/>
        </w:rPr>
      </w:pPr>
      <w:r>
        <w:rPr>
          <w:rFonts w:hint="eastAsia" w:ascii="宋体" w:hAnsi="宋体" w:eastAsia="宋体" w:cs="宋体"/>
          <w:b/>
          <w:bCs/>
          <w:kern w:val="2"/>
          <w:sz w:val="24"/>
          <w:szCs w:val="24"/>
          <w:lang w:val="en-US" w:eastAsia="zh-CN" w:bidi="ar"/>
        </w:rPr>
        <w:t>五、报名注意事项</w:t>
      </w:r>
    </w:p>
    <w:p>
      <w:pPr>
        <w:keepNext w:val="0"/>
        <w:keepLines w:val="0"/>
        <w:widowControl/>
        <w:suppressLineNumbers w:val="0"/>
        <w:spacing w:before="0" w:beforeAutospacing="0" w:after="0" w:afterAutospacing="0" w:line="440" w:lineRule="exact"/>
        <w:ind w:left="0" w:right="0" w:firstLine="480" w:firstLineChars="200"/>
        <w:jc w:val="left"/>
        <w:rPr>
          <w:rFonts w:hint="eastAsia" w:ascii="宋体" w:hAnsi="宋体" w:eastAsia="宋体" w:cs="宋体"/>
          <w:sz w:val="24"/>
        </w:rPr>
      </w:pPr>
      <w:r>
        <w:rPr>
          <w:rFonts w:hint="eastAsia" w:ascii="宋体" w:hAnsi="宋体" w:eastAsia="宋体" w:cs="宋体"/>
          <w:kern w:val="2"/>
          <w:sz w:val="24"/>
          <w:szCs w:val="24"/>
          <w:lang w:val="en-US" w:eastAsia="zh-CN" w:bidi="ar"/>
        </w:rPr>
        <w:t xml:space="preserve">1. 提交的供应商资料内容包括如下两项： </w:t>
      </w:r>
    </w:p>
    <w:p>
      <w:pPr>
        <w:keepNext w:val="0"/>
        <w:keepLines w:val="0"/>
        <w:widowControl/>
        <w:suppressLineNumbers w:val="0"/>
        <w:spacing w:before="0" w:beforeAutospacing="0" w:after="0" w:afterAutospacing="0" w:line="440" w:lineRule="exact"/>
        <w:ind w:left="0" w:right="0" w:firstLine="480" w:firstLineChars="200"/>
        <w:jc w:val="left"/>
        <w:rPr>
          <w:rFonts w:hint="eastAsia" w:ascii="宋体" w:hAnsi="宋体" w:eastAsia="宋体" w:cs="宋体"/>
          <w:sz w:val="24"/>
        </w:rPr>
      </w:pPr>
      <w:r>
        <w:rPr>
          <w:rFonts w:hint="eastAsia" w:ascii="宋体" w:hAnsi="宋体" w:eastAsia="宋体" w:cs="宋体"/>
          <w:kern w:val="2"/>
          <w:sz w:val="24"/>
          <w:szCs w:val="24"/>
          <w:lang w:val="en-US" w:eastAsia="zh-CN" w:bidi="ar"/>
        </w:rPr>
        <w:t>材料1：《厦门国际银行大数据应用平台配套新一代核心系统项目群改造项目》供应商征集反馈材料-公司名称（全称）</w:t>
      </w:r>
    </w:p>
    <w:p>
      <w:pPr>
        <w:keepNext w:val="0"/>
        <w:keepLines w:val="0"/>
        <w:widowControl/>
        <w:suppressLineNumbers w:val="0"/>
        <w:spacing w:before="0" w:beforeAutospacing="0" w:after="0" w:afterAutospacing="0" w:line="440" w:lineRule="exact"/>
        <w:ind w:left="0" w:right="0" w:firstLine="480" w:firstLineChars="200"/>
        <w:jc w:val="left"/>
        <w:rPr>
          <w:rFonts w:hint="eastAsia" w:ascii="宋体" w:hAnsi="宋体" w:eastAsia="宋体" w:cs="宋体"/>
          <w:sz w:val="24"/>
        </w:rPr>
      </w:pPr>
      <w:r>
        <w:rPr>
          <w:rFonts w:hint="eastAsia" w:ascii="宋体" w:hAnsi="宋体" w:eastAsia="宋体" w:cs="宋体"/>
          <w:kern w:val="2"/>
          <w:sz w:val="24"/>
          <w:szCs w:val="24"/>
          <w:lang w:val="en-US" w:eastAsia="zh-CN" w:bidi="ar"/>
        </w:rPr>
        <w:t>材料2：</w:t>
      </w:r>
      <w:r>
        <w:rPr>
          <w:rFonts w:hint="eastAsia" w:ascii="宋体" w:hAnsi="宋体" w:eastAsia="宋体" w:cs="宋体"/>
          <w:kern w:val="0"/>
          <w:sz w:val="24"/>
          <w:szCs w:val="24"/>
          <w:lang w:val="en-US" w:eastAsia="zh-CN" w:bidi="ar"/>
        </w:rPr>
        <w:t>承诺函</w:t>
      </w:r>
    </w:p>
    <w:p>
      <w:pPr>
        <w:pStyle w:val="8"/>
        <w:keepNext w:val="0"/>
        <w:keepLines w:val="0"/>
        <w:widowControl/>
        <w:suppressLineNumbers w:val="0"/>
        <w:topLinePunct/>
        <w:spacing w:before="0" w:beforeAutospacing="0" w:after="0" w:afterAutospacing="0" w:line="440" w:lineRule="exact"/>
        <w:ind w:left="0" w:leftChars="0" w:right="0" w:firstLine="480" w:firstLineChars="200"/>
        <w:rPr>
          <w:rFonts w:hint="eastAsia" w:ascii="宋体" w:hAnsi="宋体" w:eastAsia="宋体" w:cs="宋体"/>
        </w:rPr>
      </w:pPr>
      <w:r>
        <w:rPr>
          <w:rFonts w:hint="eastAsia" w:ascii="宋体" w:hAnsi="宋体" w:eastAsia="宋体" w:cs="宋体"/>
          <w:kern w:val="2"/>
          <w:sz w:val="24"/>
          <w:szCs w:val="24"/>
        </w:rPr>
        <w:t>以上</w:t>
      </w:r>
      <w:r>
        <w:rPr>
          <w:rFonts w:hint="eastAsia" w:ascii="宋体" w:hAnsi="宋体" w:eastAsia="宋体" w:cs="宋体"/>
          <w:kern w:val="2"/>
          <w:sz w:val="24"/>
          <w:szCs w:val="24"/>
          <w:lang w:val="en-US" w:eastAsia="zh-CN"/>
        </w:rPr>
        <w:t>两</w:t>
      </w:r>
      <w:r>
        <w:rPr>
          <w:rFonts w:hint="eastAsia" w:ascii="宋体" w:hAnsi="宋体" w:eastAsia="宋体" w:cs="宋体"/>
          <w:kern w:val="2"/>
          <w:sz w:val="24"/>
          <w:szCs w:val="24"/>
        </w:rPr>
        <w:t>项材料填报模板详见附件</w:t>
      </w:r>
      <w:r>
        <w:rPr>
          <w:rFonts w:hint="eastAsia" w:ascii="宋体" w:hAnsi="宋体" w:eastAsia="宋体" w:cs="宋体"/>
          <w:b/>
          <w:bCs/>
          <w:color w:val="FF0000"/>
          <w:sz w:val="24"/>
          <w:szCs w:val="24"/>
          <w:u w:val="none"/>
          <w:lang w:val="en-US" w:eastAsia="zh-CN"/>
        </w:rPr>
        <w:t>模板后填写，勿改动格式，并</w:t>
      </w:r>
      <w:r>
        <w:rPr>
          <w:rFonts w:hint="eastAsia" w:ascii="宋体" w:hAnsi="宋体" w:eastAsia="宋体" w:cs="宋体"/>
          <w:sz w:val="24"/>
          <w:szCs w:val="24"/>
        </w:rPr>
        <w:t>加盖公司（单位）公章</w:t>
      </w:r>
      <w:r>
        <w:rPr>
          <w:rFonts w:hint="eastAsia" w:ascii="宋体" w:hAnsi="宋体" w:eastAsia="宋体" w:cs="宋体"/>
          <w:sz w:val="24"/>
          <w:szCs w:val="24"/>
          <w:lang w:eastAsia="zh-CN"/>
        </w:rPr>
        <w:t>（</w:t>
      </w:r>
      <w:r>
        <w:rPr>
          <w:rFonts w:hint="eastAsia" w:ascii="宋体" w:hAnsi="宋体" w:eastAsia="宋体" w:cs="宋体"/>
          <w:b/>
          <w:bCs/>
          <w:sz w:val="24"/>
          <w:szCs w:val="24"/>
          <w:lang w:val="en-US" w:eastAsia="zh-CN"/>
        </w:rPr>
        <w:t>多页的需加盖骑缝章</w:t>
      </w:r>
      <w:r>
        <w:rPr>
          <w:rFonts w:hint="eastAsia" w:ascii="宋体" w:hAnsi="宋体" w:eastAsia="宋体" w:cs="宋体"/>
          <w:sz w:val="24"/>
          <w:szCs w:val="24"/>
          <w:lang w:eastAsia="zh-CN"/>
        </w:rPr>
        <w:t>）</w:t>
      </w:r>
      <w:r>
        <w:rPr>
          <w:rFonts w:hint="eastAsia" w:ascii="宋体" w:hAnsi="宋体" w:eastAsia="宋体" w:cs="宋体"/>
          <w:sz w:val="24"/>
          <w:szCs w:val="24"/>
        </w:rPr>
        <w:t>。</w:t>
      </w:r>
    </w:p>
    <w:p>
      <w:pPr>
        <w:keepNext w:val="0"/>
        <w:keepLines w:val="0"/>
        <w:widowControl/>
        <w:numPr>
          <w:ilvl w:val="0"/>
          <w:numId w:val="4"/>
        </w:numPr>
        <w:suppressLineNumbers w:val="0"/>
        <w:spacing w:before="0" w:beforeAutospacing="0" w:after="0" w:afterAutospacing="0" w:line="440" w:lineRule="exact"/>
        <w:ind w:left="0" w:leftChars="0" w:right="0" w:firstLine="480" w:firstLineChars="200"/>
        <w:jc w:val="left"/>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提交供应商资料应清晰且完整，大小不超过20M。（提交的邮件附件总大小超过</w:t>
      </w:r>
      <w:r>
        <w:rPr>
          <w:rFonts w:hint="eastAsia" w:ascii="宋体" w:hAnsi="宋体" w:eastAsia="宋体" w:cs="宋体"/>
          <w:b/>
          <w:bCs/>
          <w:kern w:val="2"/>
          <w:sz w:val="24"/>
          <w:szCs w:val="24"/>
          <w:lang w:val="en-US" w:eastAsia="zh-CN" w:bidi="ar"/>
        </w:rPr>
        <w:t>20M</w:t>
      </w:r>
      <w:r>
        <w:rPr>
          <w:rFonts w:hint="eastAsia" w:ascii="宋体" w:hAnsi="宋体" w:eastAsia="宋体" w:cs="宋体"/>
          <w:kern w:val="2"/>
          <w:sz w:val="24"/>
          <w:szCs w:val="24"/>
          <w:lang w:val="en-US" w:eastAsia="zh-CN" w:bidi="ar"/>
        </w:rPr>
        <w:t>自动拦截视为无效应答，附件请勿通过第三方邮箱转存附件，</w:t>
      </w:r>
      <w:r>
        <w:rPr>
          <w:rFonts w:hint="eastAsia" w:ascii="宋体" w:hAnsi="宋体" w:eastAsia="宋体" w:cs="宋体"/>
          <w:b/>
          <w:bCs/>
          <w:kern w:val="2"/>
          <w:sz w:val="24"/>
          <w:szCs w:val="24"/>
          <w:lang w:val="en-US" w:eastAsia="zh-CN" w:bidi="ar"/>
        </w:rPr>
        <w:t>材料1和材料2转为PDF格式发送</w:t>
      </w:r>
      <w:r>
        <w:rPr>
          <w:rFonts w:hint="eastAsia" w:ascii="宋体" w:hAnsi="宋体" w:eastAsia="宋体" w:cs="宋体"/>
          <w:kern w:val="2"/>
          <w:sz w:val="24"/>
          <w:szCs w:val="24"/>
          <w:lang w:val="en-US" w:eastAsia="zh-CN" w:bidi="ar"/>
        </w:rPr>
        <w:t>）</w:t>
      </w:r>
    </w:p>
    <w:p>
      <w:pPr>
        <w:widowControl/>
        <w:numPr>
          <w:ilvl w:val="0"/>
          <w:numId w:val="5"/>
        </w:numPr>
        <w:spacing w:line="440" w:lineRule="exact"/>
        <w:ind w:firstLine="482" w:firstLineChars="200"/>
        <w:jc w:val="left"/>
        <w:rPr>
          <w:rFonts w:hint="eastAsia" w:ascii="宋体" w:hAnsi="宋体" w:eastAsia="宋体"/>
          <w:color w:val="auto"/>
          <w:sz w:val="24"/>
          <w:szCs w:val="24"/>
        </w:rPr>
      </w:pPr>
      <w:r>
        <w:rPr>
          <w:rFonts w:hint="eastAsia" w:ascii="宋体" w:hAnsi="宋体" w:eastAsia="宋体"/>
          <w:b/>
          <w:bCs/>
          <w:sz w:val="24"/>
          <w:szCs w:val="24"/>
        </w:rPr>
        <w:t>非在库供应商请在征集时间内通过厦门国际银行采购门户网站（</w:t>
      </w:r>
      <w:r>
        <w:rPr>
          <w:rFonts w:ascii="宋体" w:hAnsi="宋体" w:eastAsia="宋体"/>
          <w:b/>
          <w:bCs/>
          <w:sz w:val="24"/>
          <w:szCs w:val="24"/>
        </w:rPr>
        <w:t>https://cpms.xib.com.cn/）完成注册，详情请登录门户网站</w:t>
      </w:r>
      <w:r>
        <w:rPr>
          <w:rFonts w:hint="eastAsia" w:ascii="宋体" w:hAnsi="宋体" w:eastAsia="宋体"/>
          <w:b/>
          <w:bCs/>
          <w:sz w:val="24"/>
          <w:szCs w:val="24"/>
        </w:rPr>
        <w:t>查阅《供应商门户操作手册》。</w:t>
      </w:r>
      <w:r>
        <w:rPr>
          <w:rFonts w:hint="eastAsia" w:ascii="宋体" w:hAnsi="宋体" w:eastAsia="宋体"/>
          <w:color w:val="auto"/>
          <w:sz w:val="24"/>
          <w:szCs w:val="24"/>
        </w:rPr>
        <w:t>如已在厦门国际银行供应商库内，无需再次注册。</w:t>
      </w:r>
    </w:p>
    <w:p>
      <w:pPr>
        <w:widowControl/>
        <w:numPr>
          <w:ilvl w:val="0"/>
          <w:numId w:val="6"/>
        </w:numPr>
        <w:spacing w:line="440" w:lineRule="exact"/>
        <w:ind w:firstLine="480" w:firstLineChars="200"/>
        <w:jc w:val="left"/>
        <w:rPr>
          <w:rFonts w:hint="eastAsia" w:ascii="宋体" w:eastAsia="宋体"/>
          <w:color w:val="auto"/>
          <w:sz w:val="24"/>
          <w:szCs w:val="24"/>
          <w:lang w:val="en-US" w:eastAsia="zh-CN"/>
        </w:rPr>
      </w:pPr>
      <w:r>
        <w:rPr>
          <w:rFonts w:hint="eastAsia" w:ascii="宋体" w:eastAsia="宋体"/>
          <w:color w:val="auto"/>
          <w:sz w:val="24"/>
          <w:szCs w:val="24"/>
          <w:lang w:val="en-US" w:eastAsia="zh-CN"/>
        </w:rPr>
        <w:t>参与公开征集的供应商经审查通过后正式进入厦门国际银行供应商信息库，作为厦门国际银行在库供应商，进入厦门国际银行供应商库的供应商方可受邀参加厦门国际银行的采购项目。</w:t>
      </w:r>
    </w:p>
    <w:p>
      <w:pPr>
        <w:widowControl/>
        <w:numPr>
          <w:ilvl w:val="0"/>
          <w:numId w:val="6"/>
        </w:numPr>
        <w:spacing w:line="440" w:lineRule="exact"/>
        <w:ind w:firstLine="480" w:firstLineChars="200"/>
        <w:jc w:val="left"/>
        <w:rPr>
          <w:rFonts w:hint="default" w:ascii="宋体" w:hAnsi="宋体" w:eastAsia="宋体"/>
          <w:sz w:val="24"/>
          <w:szCs w:val="24"/>
          <w:lang w:val="en-US" w:eastAsia="zh-CN"/>
        </w:rPr>
      </w:pPr>
      <w:r>
        <w:rPr>
          <w:rFonts w:hint="eastAsia" w:ascii="宋体" w:hAnsi="宋体" w:eastAsia="宋体"/>
          <w:sz w:val="24"/>
          <w:szCs w:val="24"/>
        </w:rPr>
        <w:t>请按上述要求提供报名材料，报名资料须提供加盖公章的原件扫描件，对于递交资料不全的、资料内容缺失的，或未按要求加盖公章及法人签</w:t>
      </w:r>
      <w:r>
        <w:rPr>
          <w:rFonts w:hint="eastAsia" w:ascii="宋体" w:hAnsi="宋体" w:eastAsia="宋体"/>
          <w:sz w:val="24"/>
          <w:szCs w:val="24"/>
          <w:lang w:val="en-US" w:eastAsia="zh-CN"/>
        </w:rPr>
        <w:t>章</w:t>
      </w:r>
      <w:r>
        <w:rPr>
          <w:rFonts w:hint="eastAsia" w:ascii="宋体" w:hAnsi="宋体" w:eastAsia="宋体"/>
          <w:sz w:val="24"/>
          <w:szCs w:val="24"/>
        </w:rPr>
        <w:t>的原件电子扫描件视为报名资料缺漏，</w:t>
      </w:r>
      <w:r>
        <w:rPr>
          <w:rFonts w:hint="eastAsia" w:ascii="宋体" w:hAnsi="宋体" w:eastAsia="宋体"/>
          <w:sz w:val="24"/>
          <w:szCs w:val="24"/>
          <w:lang w:val="en-US" w:eastAsia="zh-CN"/>
        </w:rPr>
        <w:t>征集</w:t>
      </w:r>
      <w:r>
        <w:rPr>
          <w:rFonts w:hint="eastAsia" w:ascii="宋体" w:hAnsi="宋体" w:eastAsia="宋体"/>
          <w:sz w:val="24"/>
          <w:szCs w:val="24"/>
        </w:rPr>
        <w:t>人将拒绝接受其报名。</w:t>
      </w:r>
    </w:p>
    <w:p>
      <w:pPr>
        <w:keepNext w:val="0"/>
        <w:keepLines w:val="0"/>
        <w:widowControl w:val="0"/>
        <w:suppressLineNumbers w:val="0"/>
        <w:spacing w:before="0" w:beforeAutospacing="0" w:after="0" w:afterAutospacing="0" w:line="440" w:lineRule="exact"/>
        <w:ind w:left="0" w:leftChars="0" w:right="0" w:firstLine="480" w:firstLineChars="200"/>
        <w:jc w:val="left"/>
        <w:rPr>
          <w:rFonts w:hint="eastAsia" w:ascii="宋体" w:hAnsi="宋体" w:eastAsia="宋体" w:cs="宋体"/>
          <w:kern w:val="2"/>
          <w:sz w:val="24"/>
          <w:szCs w:val="24"/>
          <w:lang w:val="en-US" w:eastAsia="zh-CN" w:bidi="ar"/>
        </w:rPr>
      </w:pPr>
    </w:p>
    <w:p>
      <w:pPr>
        <w:keepNext w:val="0"/>
        <w:keepLines w:val="0"/>
        <w:widowControl w:val="0"/>
        <w:suppressLineNumbers w:val="0"/>
        <w:spacing w:before="0" w:beforeAutospacing="0" w:after="0" w:afterAutospacing="0" w:line="440" w:lineRule="exact"/>
        <w:ind w:left="0" w:leftChars="0" w:right="0" w:firstLine="0" w:firstLineChars="0"/>
        <w:jc w:val="left"/>
        <w:rPr>
          <w:rFonts w:hint="eastAsia" w:ascii="宋体" w:hAnsi="宋体" w:eastAsia="宋体" w:cs="宋体"/>
          <w:kern w:val="2"/>
          <w:sz w:val="24"/>
          <w:szCs w:val="24"/>
          <w:lang w:val="en-US" w:eastAsia="zh-CN" w:bidi="ar"/>
        </w:rPr>
      </w:pPr>
      <w:r>
        <w:rPr>
          <w:rFonts w:hint="eastAsia" w:ascii="宋体" w:hAnsi="宋体" w:eastAsia="宋体" w:cs="宋体"/>
          <w:b/>
          <w:bCs/>
          <w:sz w:val="24"/>
          <w:szCs w:val="24"/>
        </w:rPr>
        <w:t>★上述材料</w:t>
      </w:r>
      <w:r>
        <w:rPr>
          <w:rFonts w:hint="eastAsia" w:ascii="宋体" w:hAnsi="宋体" w:eastAsia="宋体" w:cs="宋体"/>
          <w:b/>
          <w:bCs/>
          <w:sz w:val="24"/>
          <w:szCs w:val="24"/>
          <w:lang w:val="en-US" w:eastAsia="zh-CN"/>
        </w:rPr>
        <w:t>内容</w:t>
      </w:r>
      <w:r>
        <w:rPr>
          <w:rFonts w:hint="eastAsia" w:ascii="宋体" w:hAnsi="宋体" w:eastAsia="宋体" w:cs="宋体"/>
          <w:b/>
          <w:bCs/>
          <w:sz w:val="24"/>
          <w:szCs w:val="24"/>
        </w:rPr>
        <w:t>均需</w:t>
      </w:r>
      <w:r>
        <w:rPr>
          <w:rFonts w:hint="eastAsia" w:ascii="宋体" w:hAnsi="宋体" w:eastAsia="宋体" w:cs="宋体"/>
          <w:b/>
          <w:bCs/>
          <w:sz w:val="24"/>
          <w:szCs w:val="24"/>
          <w:highlight w:val="yellow"/>
          <w:lang w:val="en-US" w:eastAsia="zh-CN"/>
        </w:rPr>
        <w:t>清晰显示</w:t>
      </w:r>
      <w:r>
        <w:rPr>
          <w:rFonts w:hint="eastAsia" w:ascii="宋体" w:hAnsi="宋体" w:eastAsia="宋体" w:cs="宋体"/>
          <w:b/>
          <w:bCs/>
          <w:sz w:val="24"/>
          <w:szCs w:val="24"/>
          <w:lang w:val="en-US" w:eastAsia="zh-CN"/>
        </w:rPr>
        <w:t>、</w:t>
      </w:r>
      <w:r>
        <w:rPr>
          <w:rFonts w:hint="eastAsia" w:ascii="宋体" w:hAnsi="宋体" w:eastAsia="宋体" w:cs="宋体"/>
          <w:b/>
          <w:bCs/>
          <w:sz w:val="24"/>
          <w:szCs w:val="24"/>
        </w:rPr>
        <w:t>加盖供应商单位公章且为PDF格式。</w:t>
      </w:r>
      <w:r>
        <w:rPr>
          <w:rFonts w:hint="eastAsia" w:ascii="宋体" w:hAnsi="宋体" w:eastAsia="宋体" w:cs="宋体"/>
          <w:b/>
          <w:bCs/>
          <w:sz w:val="24"/>
          <w:szCs w:val="24"/>
          <w:lang w:val="en-US" w:eastAsia="zh-CN"/>
        </w:rPr>
        <w:t>多页的需加盖骑缝章或每页盖章</w:t>
      </w:r>
      <w:r>
        <w:rPr>
          <w:rFonts w:hint="eastAsia" w:ascii="宋体" w:hAnsi="宋体" w:eastAsia="宋体" w:cs="宋体"/>
          <w:b/>
          <w:bCs/>
          <w:color w:val="FF0000"/>
          <w:sz w:val="24"/>
          <w:szCs w:val="24"/>
          <w:lang w:val="en-US" w:eastAsia="zh-CN"/>
        </w:rPr>
        <w:t>（请使用实体公章后扫描或电子签章规范用印，勿使用抠图、图片合成等方式“用印”）</w:t>
      </w:r>
      <w:r>
        <w:rPr>
          <w:rFonts w:hint="eastAsia" w:ascii="宋体" w:hAnsi="宋体" w:eastAsia="宋体" w:cs="宋体"/>
          <w:b/>
          <w:bCs/>
          <w:sz w:val="24"/>
          <w:szCs w:val="24"/>
          <w:lang w:val="en-US" w:eastAsia="zh-CN"/>
        </w:rPr>
        <w:t>。</w:t>
      </w:r>
    </w:p>
    <w:p>
      <w:pPr>
        <w:keepNext w:val="0"/>
        <w:keepLines w:val="0"/>
        <w:widowControl/>
        <w:numPr>
          <w:ilvl w:val="0"/>
          <w:numId w:val="0"/>
        </w:numPr>
        <w:suppressLineNumbers w:val="0"/>
        <w:spacing w:before="0" w:beforeAutospacing="0" w:after="0" w:afterAutospacing="0" w:line="440" w:lineRule="exact"/>
        <w:ind w:left="567" w:right="0" w:firstLine="53" w:firstLineChars="22"/>
        <w:jc w:val="both"/>
        <w:outlineLvl w:val="0"/>
        <w:rPr>
          <w:rFonts w:hint="eastAsia" w:ascii="宋体" w:hAnsi="宋体" w:eastAsia="宋体" w:cs="宋体"/>
          <w:b/>
          <w:bCs/>
          <w:sz w:val="24"/>
          <w:lang w:bidi="ar"/>
        </w:rPr>
      </w:pPr>
      <w:r>
        <w:rPr>
          <w:rFonts w:hint="eastAsia" w:ascii="宋体" w:hAnsi="宋体" w:eastAsia="宋体" w:cs="宋体"/>
          <w:b/>
          <w:bCs/>
          <w:kern w:val="2"/>
          <w:sz w:val="24"/>
          <w:szCs w:val="24"/>
          <w:lang w:val="en-US" w:eastAsia="zh-CN" w:bidi="ar"/>
        </w:rPr>
        <w:t>六、其他注意事项</w:t>
      </w:r>
    </w:p>
    <w:p>
      <w:pPr>
        <w:keepNext w:val="0"/>
        <w:keepLines w:val="0"/>
        <w:widowControl w:val="0"/>
        <w:suppressLineNumbers w:val="0"/>
        <w:spacing w:before="0" w:beforeAutospacing="0" w:after="0" w:afterAutospacing="0" w:line="440" w:lineRule="exact"/>
        <w:ind w:left="0" w:leftChars="0" w:right="0" w:firstLine="480" w:firstLineChars="200"/>
        <w:jc w:val="left"/>
        <w:rPr>
          <w:rFonts w:hint="eastAsia" w:ascii="宋体" w:hAnsi="宋体" w:eastAsia="宋体" w:cs="宋体"/>
          <w:sz w:val="24"/>
        </w:rPr>
      </w:pPr>
      <w:r>
        <w:rPr>
          <w:rFonts w:hint="eastAsia" w:ascii="宋体" w:hAnsi="宋体" w:eastAsia="宋体" w:cs="宋体"/>
          <w:kern w:val="2"/>
          <w:sz w:val="24"/>
          <w:szCs w:val="24"/>
          <w:lang w:val="en-US" w:eastAsia="zh-CN" w:bidi="ar"/>
        </w:rPr>
        <w:t>1. 能够完全满足我行采购需求、有合作意向、符合资格要求、报名要求的供应商均可报名。</w:t>
      </w:r>
    </w:p>
    <w:p>
      <w:pPr>
        <w:pStyle w:val="2"/>
        <w:spacing w:line="440" w:lineRule="exact"/>
        <w:rPr>
          <w:rFonts w:hint="eastAsia" w:ascii="宋体" w:hAnsi="宋体" w:eastAsia="宋体" w:cs="宋体"/>
          <w:b/>
          <w:bCs/>
          <w:color w:val="FF0000"/>
          <w:kern w:val="2"/>
          <w:sz w:val="24"/>
          <w:szCs w:val="24"/>
          <w:lang w:val="en-US" w:eastAsia="zh-CN" w:bidi="ar"/>
        </w:rPr>
      </w:pPr>
      <w:r>
        <w:rPr>
          <w:rFonts w:hint="eastAsia" w:ascii="宋体" w:hAnsi="宋体" w:eastAsia="宋体" w:cs="宋体"/>
          <w:kern w:val="2"/>
          <w:sz w:val="24"/>
          <w:szCs w:val="24"/>
          <w:lang w:val="en-US" w:eastAsia="zh-CN" w:bidi="ar"/>
        </w:rPr>
        <w:t>2.</w:t>
      </w:r>
      <w:r>
        <w:rPr>
          <w:rFonts w:hint="eastAsia" w:ascii="宋体" w:eastAsia="宋体" w:cs="宋体"/>
          <w:kern w:val="2"/>
          <w:sz w:val="24"/>
          <w:szCs w:val="24"/>
          <w:lang w:val="en-US" w:eastAsia="zh-CN" w:bidi="ar"/>
        </w:rPr>
        <w:t xml:space="preserve"> </w:t>
      </w:r>
      <w:r>
        <w:rPr>
          <w:rFonts w:hint="eastAsia" w:ascii="宋体" w:hAnsi="宋体" w:eastAsia="宋体" w:cs="宋体"/>
          <w:b/>
          <w:bCs/>
          <w:color w:val="FF0000"/>
          <w:kern w:val="2"/>
          <w:sz w:val="24"/>
          <w:szCs w:val="24"/>
          <w:lang w:val="en-US" w:eastAsia="zh-CN" w:bidi="ar"/>
        </w:rPr>
        <w:t>征集人接收供应商的报名资料并不表示接受报名供应商参与本项目，征集人有权选定并邀请全部或部分合格供应商参与本项目集中采购活动。</w:t>
      </w:r>
    </w:p>
    <w:p>
      <w:pPr>
        <w:keepNext w:val="0"/>
        <w:keepLines w:val="0"/>
        <w:widowControl w:val="0"/>
        <w:numPr>
          <w:ilvl w:val="-1"/>
          <w:numId w:val="0"/>
        </w:numPr>
        <w:suppressLineNumbers w:val="0"/>
        <w:spacing w:before="0" w:beforeAutospacing="0" w:after="0" w:afterAutospacing="0" w:line="440" w:lineRule="exact"/>
        <w:ind w:left="0" w:leftChars="0" w:right="0" w:firstLine="480" w:firstLineChars="200"/>
        <w:jc w:val="left"/>
        <w:rPr>
          <w:rFonts w:hint="eastAsia" w:ascii="宋体" w:hAnsi="宋体" w:eastAsia="宋体" w:cs="宋体"/>
          <w:kern w:val="2"/>
          <w:sz w:val="24"/>
          <w:szCs w:val="24"/>
          <w:lang w:val="en-US" w:eastAsia="zh-CN" w:bidi="ar"/>
        </w:rPr>
      </w:pPr>
      <w:r>
        <w:rPr>
          <w:rFonts w:hint="eastAsia"/>
          <w:sz w:val="24"/>
          <w:szCs w:val="32"/>
        </w:rPr>
        <w:t>进入邀请名单的供应商将以邮件形式进行通知，非请勿扰。</w:t>
      </w:r>
    </w:p>
    <w:p>
      <w:pPr>
        <w:keepNext w:val="0"/>
        <w:keepLines w:val="0"/>
        <w:widowControl w:val="0"/>
        <w:numPr>
          <w:ilvl w:val="-1"/>
          <w:numId w:val="0"/>
        </w:numPr>
        <w:suppressLineNumbers w:val="0"/>
        <w:spacing w:before="0" w:beforeAutospacing="0" w:after="0" w:afterAutospacing="0" w:line="440" w:lineRule="exact"/>
        <w:ind w:left="0" w:leftChars="0" w:right="0" w:firstLine="480" w:firstLineChars="200"/>
        <w:jc w:val="left"/>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xml:space="preserve">3. </w:t>
      </w:r>
      <w:r>
        <w:rPr>
          <w:rFonts w:hint="eastAsia" w:ascii="宋体" w:eastAsia="宋体" w:cs="宋体"/>
          <w:kern w:val="2"/>
          <w:sz w:val="24"/>
          <w:szCs w:val="24"/>
          <w:lang w:val="en-US" w:eastAsia="zh-CN" w:bidi="ar"/>
        </w:rPr>
        <w:t>征集人视收到的上述资料不涉及商业秘密，所有供应商报名资料恕不退还。</w:t>
      </w:r>
    </w:p>
    <w:p>
      <w:pPr>
        <w:keepNext w:val="0"/>
        <w:keepLines w:val="0"/>
        <w:widowControl w:val="0"/>
        <w:suppressLineNumbers w:val="0"/>
        <w:spacing w:before="0" w:beforeAutospacing="0" w:after="0" w:afterAutospacing="0" w:line="440" w:lineRule="exact"/>
        <w:ind w:left="0" w:leftChars="0" w:right="0" w:firstLine="480" w:firstLineChars="200"/>
        <w:jc w:val="left"/>
        <w:rPr>
          <w:rFonts w:hint="eastAsia" w:ascii="宋体" w:hAnsi="宋体" w:eastAsia="宋体" w:cs="宋体"/>
          <w:sz w:val="24"/>
        </w:rPr>
      </w:pPr>
      <w:r>
        <w:rPr>
          <w:rFonts w:hint="eastAsia" w:ascii="宋体" w:hAnsi="宋体" w:eastAsia="宋体" w:cs="宋体"/>
          <w:kern w:val="2"/>
          <w:sz w:val="24"/>
          <w:szCs w:val="24"/>
          <w:lang w:val="en-US" w:eastAsia="zh-CN" w:bidi="ar"/>
        </w:rPr>
        <w:t>4. 本次公开征集不收取供应商的任何费用。</w:t>
      </w:r>
    </w:p>
    <w:p>
      <w:pPr>
        <w:keepNext w:val="0"/>
        <w:keepLines w:val="0"/>
        <w:widowControl w:val="0"/>
        <w:suppressLineNumbers w:val="0"/>
        <w:spacing w:before="0" w:beforeAutospacing="0" w:after="0" w:afterAutospacing="0" w:line="440" w:lineRule="exact"/>
        <w:ind w:left="0" w:leftChars="0" w:right="0" w:firstLine="480" w:firstLineChars="200"/>
        <w:jc w:val="left"/>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5. 供应商须对报名信息和资料的真实性负责。如提供虚假材料，将取消报名资格并列入我行供应商黑名单。</w:t>
      </w:r>
    </w:p>
    <w:p>
      <w:pPr>
        <w:widowControl w:val="0"/>
        <w:spacing w:line="440" w:lineRule="exact"/>
        <w:ind w:firstLine="480" w:firstLineChars="200"/>
        <w:rPr>
          <w:rFonts w:hint="eastAsia" w:ascii="宋体" w:hAnsi="宋体" w:eastAsia="宋体" w:cs="宋体"/>
        </w:rPr>
      </w:pPr>
      <w:r>
        <w:rPr>
          <w:rFonts w:hint="eastAsia" w:ascii="宋体" w:hAnsi="宋体" w:cs="宋体"/>
          <w:kern w:val="2"/>
          <w:sz w:val="24"/>
          <w:szCs w:val="24"/>
          <w:lang w:val="en-US" w:eastAsia="zh-CN" w:bidi="ar"/>
        </w:rPr>
        <w:t xml:space="preserve">6. </w:t>
      </w:r>
      <w:r>
        <w:rPr>
          <w:rFonts w:hint="eastAsia" w:ascii="宋体" w:hAnsi="宋体" w:eastAsia="宋体" w:cs="宋体"/>
          <w:kern w:val="0"/>
          <w:sz w:val="24"/>
          <w:szCs w:val="24"/>
        </w:rPr>
        <w:t>对于上述事项存在疑问的，请及时与我行联系。</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特此公告。</w:t>
      </w:r>
    </w:p>
    <w:p>
      <w:pPr>
        <w:spacing w:line="440" w:lineRule="exact"/>
        <w:ind w:firstLine="480" w:firstLineChars="200"/>
        <w:jc w:val="right"/>
        <w:rPr>
          <w:rFonts w:ascii="宋体" w:hAnsi="宋体" w:eastAsia="宋体"/>
          <w:sz w:val="24"/>
          <w:szCs w:val="24"/>
        </w:rPr>
      </w:pPr>
      <w:r>
        <w:rPr>
          <w:rFonts w:hint="eastAsia" w:ascii="宋体" w:hAnsi="宋体" w:eastAsia="宋体"/>
          <w:sz w:val="24"/>
          <w:szCs w:val="24"/>
        </w:rPr>
        <w:t>厦门国际银行股份有限公司</w:t>
      </w:r>
    </w:p>
    <w:p>
      <w:pPr>
        <w:spacing w:line="440" w:lineRule="exact"/>
        <w:ind w:firstLine="480" w:firstLineChars="200"/>
        <w:jc w:val="right"/>
        <w:rPr>
          <w:rFonts w:ascii="宋体" w:hAnsi="宋体" w:eastAsia="宋体"/>
          <w:sz w:val="24"/>
          <w:szCs w:val="24"/>
        </w:rPr>
      </w:pPr>
      <w:r>
        <w:rPr>
          <w:rFonts w:ascii="宋体" w:hAnsi="宋体" w:eastAsia="宋体"/>
          <w:sz w:val="24"/>
          <w:szCs w:val="24"/>
        </w:rPr>
        <w:t>202</w:t>
      </w:r>
      <w:r>
        <w:rPr>
          <w:rFonts w:hint="eastAsia" w:ascii="宋体" w:hAnsi="宋体" w:eastAsia="宋体"/>
          <w:sz w:val="24"/>
          <w:szCs w:val="24"/>
          <w:lang w:val="en-US" w:eastAsia="zh-CN"/>
        </w:rPr>
        <w:t>6</w:t>
      </w:r>
      <w:r>
        <w:rPr>
          <w:rFonts w:ascii="宋体" w:hAnsi="宋体" w:eastAsia="宋体"/>
          <w:sz w:val="24"/>
          <w:szCs w:val="24"/>
        </w:rPr>
        <w:t>年</w:t>
      </w:r>
      <w:r>
        <w:rPr>
          <w:rFonts w:hint="eastAsia" w:ascii="宋体" w:hAnsi="宋体" w:eastAsia="宋体"/>
          <w:sz w:val="24"/>
          <w:szCs w:val="24"/>
          <w:lang w:val="en-US" w:eastAsia="zh-CN"/>
        </w:rPr>
        <w:t>6</w:t>
      </w:r>
      <w:r>
        <w:rPr>
          <w:rFonts w:ascii="宋体" w:hAnsi="宋体" w:eastAsia="宋体"/>
          <w:sz w:val="24"/>
          <w:szCs w:val="24"/>
        </w:rPr>
        <w:t>月</w:t>
      </w:r>
      <w:r>
        <w:rPr>
          <w:rFonts w:hint="eastAsia" w:ascii="宋体" w:hAnsi="宋体" w:eastAsia="宋体"/>
          <w:sz w:val="24"/>
          <w:szCs w:val="24"/>
          <w:lang w:val="en-US" w:eastAsia="zh-CN"/>
        </w:rPr>
        <w:t>22</w:t>
      </w:r>
      <w:bookmarkStart w:id="0" w:name="_GoBack"/>
      <w:bookmarkEnd w:id="0"/>
      <w:r>
        <w:rPr>
          <w:rFonts w:ascii="宋体" w:hAnsi="宋体" w:eastAsia="宋体"/>
          <w:sz w:val="24"/>
          <w:szCs w:val="24"/>
        </w:rPr>
        <w:t>日</w:t>
      </w:r>
    </w:p>
    <w:p>
      <w:pPr>
        <w:spacing w:line="440" w:lineRule="exact"/>
        <w:ind w:firstLine="480" w:firstLineChars="200"/>
        <w:jc w:val="right"/>
        <w:rPr>
          <w:rFonts w:ascii="宋体" w:hAnsi="宋体" w:eastAsia="宋体"/>
          <w:sz w:val="24"/>
          <w:szCs w:val="24"/>
        </w:rPr>
      </w:pPr>
    </w:p>
    <w:p>
      <w:pPr>
        <w:spacing w:line="440" w:lineRule="exact"/>
        <w:rPr>
          <w:rFonts w:hint="eastAsia" w:ascii="宋体" w:hAnsi="宋体" w:eastAsia="宋体" w:cs="宋体"/>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7083D0"/>
    <w:multiLevelType w:val="singleLevel"/>
    <w:tmpl w:val="907083D0"/>
    <w:lvl w:ilvl="0" w:tentative="0">
      <w:start w:val="2"/>
      <w:numFmt w:val="decimal"/>
      <w:lvlText w:val="%1."/>
      <w:lvlJc w:val="left"/>
      <w:pPr>
        <w:tabs>
          <w:tab w:val="left" w:pos="312"/>
        </w:tabs>
      </w:pPr>
    </w:lvl>
  </w:abstractNum>
  <w:abstractNum w:abstractNumId="1">
    <w:nsid w:val="C04CBC6E"/>
    <w:multiLevelType w:val="singleLevel"/>
    <w:tmpl w:val="C04CBC6E"/>
    <w:lvl w:ilvl="0" w:tentative="0">
      <w:start w:val="3"/>
      <w:numFmt w:val="decimal"/>
      <w:lvlText w:val="%1."/>
      <w:lvlJc w:val="left"/>
      <w:pPr>
        <w:tabs>
          <w:tab w:val="left" w:pos="312"/>
        </w:tabs>
      </w:pPr>
    </w:lvl>
  </w:abstractNum>
  <w:abstractNum w:abstractNumId="2">
    <w:nsid w:val="FB12993A"/>
    <w:multiLevelType w:val="singleLevel"/>
    <w:tmpl w:val="FB12993A"/>
    <w:lvl w:ilvl="0" w:tentative="0">
      <w:start w:val="1"/>
      <w:numFmt w:val="chineseCounting"/>
      <w:lvlText w:val="(%1)"/>
      <w:lvlJc w:val="left"/>
      <w:pPr>
        <w:tabs>
          <w:tab w:val="left" w:pos="312"/>
        </w:tabs>
      </w:pPr>
      <w:rPr>
        <w:rFonts w:hint="eastAsia"/>
      </w:rPr>
    </w:lvl>
  </w:abstractNum>
  <w:abstractNum w:abstractNumId="3">
    <w:nsid w:val="00000019"/>
    <w:multiLevelType w:val="multilevel"/>
    <w:tmpl w:val="00000019"/>
    <w:lvl w:ilvl="0" w:tentative="0">
      <w:start w:val="1"/>
      <w:numFmt w:val="decimal"/>
      <w:lvlText w:val="%1"/>
      <w:lvlJc w:val="left"/>
      <w:pPr>
        <w:tabs>
          <w:tab w:val="left" w:pos="432"/>
        </w:tabs>
        <w:ind w:left="432" w:hanging="432"/>
      </w:pPr>
      <w:rPr>
        <w:rFonts w:hint="default" w:ascii="Times New Roman" w:hAnsi="Times New Roman" w:eastAsia="宋体"/>
      </w:rPr>
    </w:lvl>
    <w:lvl w:ilvl="1" w:tentative="0">
      <w:start w:val="1"/>
      <w:numFmt w:val="decimal"/>
      <w:lvlText w:val="%1.%2"/>
      <w:lvlJc w:val="left"/>
      <w:pPr>
        <w:tabs>
          <w:tab w:val="left" w:pos="576"/>
        </w:tabs>
        <w:ind w:left="576" w:hanging="576"/>
      </w:pPr>
      <w:rPr>
        <w:rFonts w:hint="default" w:ascii="Times New Roman" w:hAnsi="Times New Roman" w:eastAsia="宋体"/>
      </w:rPr>
    </w:lvl>
    <w:lvl w:ilvl="2" w:tentative="0">
      <w:start w:val="1"/>
      <w:numFmt w:val="decimal"/>
      <w:lvlText w:val="%1.%2.%3"/>
      <w:lvlJc w:val="left"/>
      <w:pPr>
        <w:tabs>
          <w:tab w:val="left" w:pos="720"/>
        </w:tabs>
        <w:ind w:left="720" w:hanging="720"/>
      </w:pPr>
      <w:rPr>
        <w:rFonts w:hint="default" w:ascii="Times New Roman" w:hAnsi="Times New Roman" w:eastAsia="宋体"/>
      </w:rPr>
    </w:lvl>
    <w:lvl w:ilvl="3" w:tentative="0">
      <w:start w:val="1"/>
      <w:numFmt w:val="decimal"/>
      <w:pStyle w:val="20"/>
      <w:lvlText w:val="%1.%2.%3.%4"/>
      <w:lvlJc w:val="left"/>
      <w:pPr>
        <w:tabs>
          <w:tab w:val="left" w:pos="864"/>
        </w:tabs>
        <w:ind w:left="864" w:hanging="864"/>
      </w:pPr>
      <w:rPr>
        <w:rFonts w:hint="default" w:ascii="Times New Roman" w:hAnsi="Times New Roman" w:eastAsia="宋体"/>
      </w:rPr>
    </w:lvl>
    <w:lvl w:ilvl="4" w:tentative="0">
      <w:start w:val="1"/>
      <w:numFmt w:val="decimal"/>
      <w:lvlText w:val="%1.%2.%3.%4.%5"/>
      <w:lvlJc w:val="left"/>
      <w:pPr>
        <w:tabs>
          <w:tab w:val="left" w:pos="1008"/>
        </w:tabs>
        <w:ind w:left="1008" w:hanging="1008"/>
      </w:pPr>
      <w:rPr>
        <w:rFonts w:hint="default" w:ascii="Times New Roman" w:hAnsi="Times New Roman" w:eastAsia="宋体"/>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4">
    <w:nsid w:val="36C42D9A"/>
    <w:multiLevelType w:val="multilevel"/>
    <w:tmpl w:val="36C42D9A"/>
    <w:lvl w:ilvl="0" w:tentative="0">
      <w:start w:val="1"/>
      <w:numFmt w:val="decimal"/>
      <w:lvlText w:val="%1."/>
      <w:lvlJc w:val="left"/>
      <w:pPr>
        <w:tabs>
          <w:tab w:val="left" w:pos="425"/>
        </w:tabs>
        <w:ind w:left="425" w:hanging="425"/>
      </w:pPr>
      <w:rPr>
        <w:rFonts w:hint="default" w:ascii="Times New Roman" w:hAnsi="Times New Roman" w:eastAsia="黑体"/>
        <w:b/>
        <w:i w:val="0"/>
        <w:sz w:val="36"/>
      </w:rPr>
    </w:lvl>
    <w:lvl w:ilvl="1" w:tentative="0">
      <w:start w:val="1"/>
      <w:numFmt w:val="decimal"/>
      <w:lvlText w:val="%1.%2."/>
      <w:lvlJc w:val="left"/>
      <w:pPr>
        <w:tabs>
          <w:tab w:val="left" w:pos="567"/>
        </w:tabs>
        <w:ind w:left="567" w:hanging="567"/>
      </w:pPr>
      <w:rPr>
        <w:rFonts w:hint="default" w:ascii="Times New Roman" w:hAnsi="Times New Roman" w:eastAsia="黑体"/>
        <w:b/>
        <w:i w:val="0"/>
        <w:sz w:val="30"/>
      </w:rPr>
    </w:lvl>
    <w:lvl w:ilvl="2" w:tentative="0">
      <w:start w:val="1"/>
      <w:numFmt w:val="decimal"/>
      <w:lvlText w:val="%1.%2.%3."/>
      <w:lvlJc w:val="left"/>
      <w:pPr>
        <w:tabs>
          <w:tab w:val="left" w:pos="1135"/>
        </w:tabs>
        <w:ind w:left="1135" w:hanging="709"/>
      </w:pPr>
      <w:rPr>
        <w:rFonts w:hint="eastAsia"/>
      </w:rPr>
    </w:lvl>
    <w:lvl w:ilvl="3" w:tentative="0">
      <w:start w:val="1"/>
      <w:numFmt w:val="decimal"/>
      <w:pStyle w:val="5"/>
      <w:isLgl/>
      <w:lvlText w:val="%1.%2.%3.%4."/>
      <w:lvlJc w:val="left"/>
      <w:pPr>
        <w:tabs>
          <w:tab w:val="left" w:pos="851"/>
        </w:tabs>
        <w:ind w:left="851" w:hanging="851"/>
      </w:pPr>
      <w:rPr>
        <w:rFonts w:hint="default" w:ascii="Times New Roman" w:hAnsi="Times New Roman" w:eastAsia="宋体"/>
        <w:b/>
        <w:i w:val="0"/>
        <w:sz w:val="28"/>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
    <w:nsid w:val="5B777C0F"/>
    <w:multiLevelType w:val="singleLevel"/>
    <w:tmpl w:val="5B777C0F"/>
    <w:lvl w:ilvl="0" w:tentative="0">
      <w:start w:val="4"/>
      <w:numFmt w:val="decimal"/>
      <w:lvlText w:val="%1."/>
      <w:lvlJc w:val="left"/>
      <w:pPr>
        <w:tabs>
          <w:tab w:val="left" w:pos="312"/>
        </w:tabs>
      </w:pPr>
    </w:lvl>
  </w:abstractNum>
  <w:num w:numId="1">
    <w:abstractNumId w:val="4"/>
  </w:num>
  <w:num w:numId="2">
    <w:abstractNumId w:val="3"/>
  </w:num>
  <w:num w:numId="3">
    <w:abstractNumId w:val="2"/>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002AAE"/>
    <w:rsid w:val="02AF65DD"/>
    <w:rsid w:val="02E85FFA"/>
    <w:rsid w:val="04F52815"/>
    <w:rsid w:val="05454399"/>
    <w:rsid w:val="07590D47"/>
    <w:rsid w:val="079C5E57"/>
    <w:rsid w:val="07C94BF5"/>
    <w:rsid w:val="07DC6999"/>
    <w:rsid w:val="07E17FD0"/>
    <w:rsid w:val="080D77A6"/>
    <w:rsid w:val="08C86E11"/>
    <w:rsid w:val="08ED64C0"/>
    <w:rsid w:val="0BA43271"/>
    <w:rsid w:val="0C364572"/>
    <w:rsid w:val="0D834F62"/>
    <w:rsid w:val="0DDA1407"/>
    <w:rsid w:val="0E41465C"/>
    <w:rsid w:val="0EC53E4D"/>
    <w:rsid w:val="0F9B5667"/>
    <w:rsid w:val="0FE764A2"/>
    <w:rsid w:val="10B43180"/>
    <w:rsid w:val="10D05B8E"/>
    <w:rsid w:val="10D32584"/>
    <w:rsid w:val="133F1DBD"/>
    <w:rsid w:val="13DE2AA7"/>
    <w:rsid w:val="13E47580"/>
    <w:rsid w:val="14724102"/>
    <w:rsid w:val="166511BF"/>
    <w:rsid w:val="171A6EB7"/>
    <w:rsid w:val="182D3C4B"/>
    <w:rsid w:val="18DD3A32"/>
    <w:rsid w:val="190036F5"/>
    <w:rsid w:val="19231FC9"/>
    <w:rsid w:val="19950814"/>
    <w:rsid w:val="1AA44A44"/>
    <w:rsid w:val="1AF5110C"/>
    <w:rsid w:val="1C0627AA"/>
    <w:rsid w:val="1C4B0A11"/>
    <w:rsid w:val="1C5674A5"/>
    <w:rsid w:val="1C6A7CE0"/>
    <w:rsid w:val="1DEF7891"/>
    <w:rsid w:val="1E152E27"/>
    <w:rsid w:val="1E735D4A"/>
    <w:rsid w:val="1EF52F02"/>
    <w:rsid w:val="1FD80A16"/>
    <w:rsid w:val="200A604A"/>
    <w:rsid w:val="21A63C0D"/>
    <w:rsid w:val="21A64FA0"/>
    <w:rsid w:val="235C54BC"/>
    <w:rsid w:val="23AC0368"/>
    <w:rsid w:val="23E367B8"/>
    <w:rsid w:val="25EB7833"/>
    <w:rsid w:val="264F0227"/>
    <w:rsid w:val="27FB5F25"/>
    <w:rsid w:val="28C52760"/>
    <w:rsid w:val="2B312BCE"/>
    <w:rsid w:val="2B933EB8"/>
    <w:rsid w:val="2C002AAE"/>
    <w:rsid w:val="2C1724E2"/>
    <w:rsid w:val="2C683F86"/>
    <w:rsid w:val="2D8C3D92"/>
    <w:rsid w:val="2EB72A65"/>
    <w:rsid w:val="2F7133A5"/>
    <w:rsid w:val="306829D2"/>
    <w:rsid w:val="31F95178"/>
    <w:rsid w:val="326B1811"/>
    <w:rsid w:val="329F3E18"/>
    <w:rsid w:val="32F37DA2"/>
    <w:rsid w:val="33710B93"/>
    <w:rsid w:val="33BE6305"/>
    <w:rsid w:val="34E255C9"/>
    <w:rsid w:val="352B64A2"/>
    <w:rsid w:val="354C66CC"/>
    <w:rsid w:val="35BF0920"/>
    <w:rsid w:val="360B0315"/>
    <w:rsid w:val="36CD3A92"/>
    <w:rsid w:val="3A4678C5"/>
    <w:rsid w:val="3A543DA5"/>
    <w:rsid w:val="3A811726"/>
    <w:rsid w:val="3B7A36D2"/>
    <w:rsid w:val="3C0D2389"/>
    <w:rsid w:val="3C5B1DBC"/>
    <w:rsid w:val="3DB755CD"/>
    <w:rsid w:val="3E143768"/>
    <w:rsid w:val="3EF339AB"/>
    <w:rsid w:val="3EF84C45"/>
    <w:rsid w:val="3FAA4612"/>
    <w:rsid w:val="3FFD0982"/>
    <w:rsid w:val="40541BDA"/>
    <w:rsid w:val="41460F03"/>
    <w:rsid w:val="445D63DC"/>
    <w:rsid w:val="44786A71"/>
    <w:rsid w:val="4536691D"/>
    <w:rsid w:val="45685A06"/>
    <w:rsid w:val="45ED2E63"/>
    <w:rsid w:val="46CC4364"/>
    <w:rsid w:val="47415AF3"/>
    <w:rsid w:val="47670B87"/>
    <w:rsid w:val="47D80575"/>
    <w:rsid w:val="48B014DC"/>
    <w:rsid w:val="48E6735E"/>
    <w:rsid w:val="4A343869"/>
    <w:rsid w:val="4A3B4530"/>
    <w:rsid w:val="4CC94116"/>
    <w:rsid w:val="4D3861FA"/>
    <w:rsid w:val="4D7D2D57"/>
    <w:rsid w:val="4E563093"/>
    <w:rsid w:val="4F402D9D"/>
    <w:rsid w:val="4FE30B00"/>
    <w:rsid w:val="500D3812"/>
    <w:rsid w:val="51A64A84"/>
    <w:rsid w:val="521752CC"/>
    <w:rsid w:val="523F60EA"/>
    <w:rsid w:val="53AE3814"/>
    <w:rsid w:val="5407085B"/>
    <w:rsid w:val="55720372"/>
    <w:rsid w:val="564F74AD"/>
    <w:rsid w:val="567C419A"/>
    <w:rsid w:val="5944309C"/>
    <w:rsid w:val="5A711947"/>
    <w:rsid w:val="5B5451CD"/>
    <w:rsid w:val="5B6634E0"/>
    <w:rsid w:val="5B6F0BD2"/>
    <w:rsid w:val="5F4C5CE4"/>
    <w:rsid w:val="60223982"/>
    <w:rsid w:val="657E256F"/>
    <w:rsid w:val="65F94B59"/>
    <w:rsid w:val="664E1F36"/>
    <w:rsid w:val="66665D3B"/>
    <w:rsid w:val="672F63D1"/>
    <w:rsid w:val="67F56F1D"/>
    <w:rsid w:val="6828423E"/>
    <w:rsid w:val="69057612"/>
    <w:rsid w:val="6A6B5D40"/>
    <w:rsid w:val="6A780F30"/>
    <w:rsid w:val="6C993E4B"/>
    <w:rsid w:val="6D624DC9"/>
    <w:rsid w:val="6D9B3E93"/>
    <w:rsid w:val="6EAD6321"/>
    <w:rsid w:val="6F2F4B24"/>
    <w:rsid w:val="70456B2E"/>
    <w:rsid w:val="71814EAA"/>
    <w:rsid w:val="719A4D71"/>
    <w:rsid w:val="728A63CC"/>
    <w:rsid w:val="7305217D"/>
    <w:rsid w:val="73211027"/>
    <w:rsid w:val="74557B6D"/>
    <w:rsid w:val="757D4596"/>
    <w:rsid w:val="759325D7"/>
    <w:rsid w:val="763755A5"/>
    <w:rsid w:val="768D1ADB"/>
    <w:rsid w:val="76D13D4E"/>
    <w:rsid w:val="77DE46D3"/>
    <w:rsid w:val="78B50729"/>
    <w:rsid w:val="7A646F29"/>
    <w:rsid w:val="7B1F5CF1"/>
    <w:rsid w:val="7BBF0393"/>
    <w:rsid w:val="7C7C4FB5"/>
    <w:rsid w:val="7D6645E3"/>
    <w:rsid w:val="7D8E062D"/>
    <w:rsid w:val="7DE15AE6"/>
    <w:rsid w:val="7E483241"/>
    <w:rsid w:val="7F8548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spacing w:before="0" w:beforeAutospacing="1" w:after="0" w:afterAutospacing="1"/>
      <w:jc w:val="left"/>
    </w:pPr>
    <w:rPr>
      <w:rFonts w:hint="eastAsia" w:ascii="宋体" w:hAnsi="宋体" w:eastAsia="宋体" w:cs="宋体"/>
      <w:b/>
      <w:kern w:val="44"/>
      <w:sz w:val="24"/>
      <w:szCs w:val="24"/>
      <w:lang w:val="en-US" w:eastAsia="zh-CN" w:bidi="ar"/>
    </w:rPr>
  </w:style>
  <w:style w:type="paragraph" w:styleId="5">
    <w:name w:val="heading 4"/>
    <w:basedOn w:val="1"/>
    <w:next w:val="1"/>
    <w:qFormat/>
    <w:uiPriority w:val="0"/>
    <w:pPr>
      <w:keepNext/>
      <w:keepLines/>
      <w:numPr>
        <w:ilvl w:val="3"/>
        <w:numId w:val="1"/>
      </w:numPr>
      <w:spacing w:after="156" w:afterLines="50" w:line="360" w:lineRule="auto"/>
      <w:outlineLvl w:val="3"/>
    </w:pPr>
    <w:rPr>
      <w:rFonts w:ascii="Times New Roman" w:hAnsi="Times New Roman"/>
      <w:b/>
      <w:bCs/>
      <w:sz w:val="28"/>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spacing w:line="360" w:lineRule="auto"/>
      <w:ind w:firstLine="480" w:firstLineChars="200"/>
    </w:pPr>
    <w:rPr>
      <w:rFonts w:ascii="Times New Roman" w:hAnsi="宋体"/>
      <w:sz w:val="24"/>
      <w:szCs w:val="24"/>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6">
    <w:name w:val="annotation text"/>
    <w:basedOn w:val="1"/>
    <w:qFormat/>
    <w:uiPriority w:val="0"/>
    <w:pPr>
      <w:jc w:val="left"/>
    </w:pPr>
  </w:style>
  <w:style w:type="paragraph" w:styleId="7">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1">
    <w:name w:val="Strong"/>
    <w:basedOn w:val="10"/>
    <w:qFormat/>
    <w:uiPriority w:val="0"/>
    <w:rPr>
      <w:b/>
    </w:rPr>
  </w:style>
  <w:style w:type="character" w:styleId="12">
    <w:name w:val="FollowedHyperlink"/>
    <w:basedOn w:val="10"/>
    <w:qFormat/>
    <w:uiPriority w:val="0"/>
    <w:rPr>
      <w:color w:val="277EFF"/>
      <w:u w:val="none"/>
    </w:rPr>
  </w:style>
  <w:style w:type="character" w:styleId="13">
    <w:name w:val="Emphasis"/>
    <w:basedOn w:val="10"/>
    <w:qFormat/>
    <w:uiPriority w:val="0"/>
  </w:style>
  <w:style w:type="character" w:styleId="14">
    <w:name w:val="HTML Definition"/>
    <w:basedOn w:val="10"/>
    <w:qFormat/>
    <w:uiPriority w:val="0"/>
  </w:style>
  <w:style w:type="character" w:styleId="15">
    <w:name w:val="HTML Acronym"/>
    <w:basedOn w:val="10"/>
    <w:qFormat/>
    <w:uiPriority w:val="0"/>
  </w:style>
  <w:style w:type="character" w:styleId="16">
    <w:name w:val="HTML Variable"/>
    <w:basedOn w:val="10"/>
    <w:qFormat/>
    <w:uiPriority w:val="0"/>
  </w:style>
  <w:style w:type="character" w:styleId="17">
    <w:name w:val="Hyperlink"/>
    <w:basedOn w:val="10"/>
    <w:qFormat/>
    <w:uiPriority w:val="0"/>
    <w:rPr>
      <w:color w:val="277EFF"/>
      <w:u w:val="none"/>
    </w:rPr>
  </w:style>
  <w:style w:type="character" w:styleId="18">
    <w:name w:val="HTML Code"/>
    <w:basedOn w:val="10"/>
    <w:qFormat/>
    <w:uiPriority w:val="0"/>
    <w:rPr>
      <w:rFonts w:ascii="Courier New" w:hAnsi="Courier New"/>
      <w:sz w:val="20"/>
    </w:rPr>
  </w:style>
  <w:style w:type="character" w:styleId="19">
    <w:name w:val="HTML Cite"/>
    <w:basedOn w:val="10"/>
    <w:qFormat/>
    <w:uiPriority w:val="0"/>
  </w:style>
  <w:style w:type="paragraph" w:customStyle="1" w:styleId="20">
    <w:name w:val="标题_自定义_4"/>
    <w:basedOn w:val="5"/>
    <w:qFormat/>
    <w:uiPriority w:val="0"/>
    <w:pPr>
      <w:numPr>
        <w:ilvl w:val="3"/>
        <w:numId w:val="2"/>
      </w:numPr>
      <w:spacing w:line="372" w:lineRule="auto"/>
    </w:pPr>
    <w:rPr>
      <w:rFonts w:ascii="Times New Roman" w:hAnsi="Cambria" w:eastAsia="宋体" w:cs="Times New Roman"/>
      <w:sz w:val="24"/>
      <w:szCs w:val="24"/>
    </w:rPr>
  </w:style>
  <w:style w:type="character" w:customStyle="1" w:styleId="21">
    <w:name w:val="concat-text"/>
    <w:basedOn w:val="10"/>
    <w:qFormat/>
    <w:uiPriority w:val="0"/>
  </w:style>
  <w:style w:type="character" w:customStyle="1" w:styleId="22">
    <w:name w:val="hover7"/>
    <w:basedOn w:val="10"/>
    <w:qFormat/>
    <w:uiPriority w:val="0"/>
    <w:rPr>
      <w:color w:val="004098"/>
      <w:bdr w:val="single" w:color="004098" w:sz="4" w:space="0"/>
    </w:rPr>
  </w:style>
  <w:style w:type="character" w:customStyle="1" w:styleId="23">
    <w:name w:val="hover8"/>
    <w:basedOn w:val="10"/>
    <w:qFormat/>
    <w:uiPriority w:val="0"/>
    <w:rPr>
      <w:color w:val="FFFFFF"/>
      <w:shd w:val="clear" w:fill="004098"/>
    </w:rPr>
  </w:style>
  <w:style w:type="character" w:customStyle="1" w:styleId="24">
    <w:name w:val="hover9"/>
    <w:basedOn w:val="10"/>
    <w:qFormat/>
    <w:uiPriority w:val="0"/>
    <w:rPr>
      <w:color w:val="FFFFFF"/>
    </w:rPr>
  </w:style>
  <w:style w:type="character" w:customStyle="1" w:styleId="25">
    <w:name w:val="hover10"/>
    <w:basedOn w:val="10"/>
    <w:qFormat/>
    <w:uiPriority w:val="0"/>
    <w:rPr>
      <w:color w:val="FFFFFF"/>
      <w:shd w:val="clear" w:fill="6495ED"/>
    </w:rPr>
  </w:style>
  <w:style w:type="character" w:customStyle="1" w:styleId="26">
    <w:name w:val="advice"/>
    <w:basedOn w:val="10"/>
    <w:qFormat/>
    <w:uiPriority w:val="0"/>
    <w:rPr>
      <w:color w:val="004098"/>
      <w:bdr w:val="single" w:color="004098" w:sz="4" w:space="0"/>
    </w:rPr>
  </w:style>
  <w:style w:type="character" w:customStyle="1" w:styleId="27">
    <w:name w:val="last-child"/>
    <w:basedOn w:val="10"/>
    <w:qFormat/>
    <w:uiPriority w:val="0"/>
  </w:style>
  <w:style w:type="character" w:customStyle="1" w:styleId="28">
    <w:name w:val="on1"/>
    <w:basedOn w:val="10"/>
    <w:qFormat/>
    <w:uiPriority w:val="0"/>
    <w:rPr>
      <w:color w:val="FFFFFF"/>
      <w:shd w:val="clear" w:fill="004098"/>
    </w:rPr>
  </w:style>
  <w:style w:type="character" w:customStyle="1" w:styleId="29">
    <w:name w:val="on2"/>
    <w:basedOn w:val="10"/>
    <w:qFormat/>
    <w:uiPriority w:val="0"/>
    <w:rPr>
      <w:color w:val="004098"/>
      <w:bdr w:val="single" w:color="004098" w:sz="4" w:space="0"/>
    </w:rPr>
  </w:style>
  <w:style w:type="character" w:customStyle="1" w:styleId="30">
    <w:name w:val="active"/>
    <w:basedOn w:val="10"/>
    <w:qFormat/>
    <w:uiPriority w:val="0"/>
    <w:rPr>
      <w:color w:val="FFFFFF"/>
      <w:shd w:val="clear" w:fill="004098"/>
    </w:rPr>
  </w:style>
  <w:style w:type="character" w:customStyle="1" w:styleId="31">
    <w:name w:val="statuspurchase"/>
    <w:basedOn w:val="10"/>
    <w:qFormat/>
    <w:uiPriority w:val="0"/>
    <w:rPr>
      <w:vanish/>
      <w:color w:val="004098"/>
      <w:sz w:val="14"/>
      <w:szCs w:val="14"/>
      <w:bdr w:val="single" w:color="004098" w:sz="4" w:space="0"/>
    </w:rPr>
  </w:style>
  <w:style w:type="character" w:customStyle="1" w:styleId="32">
    <w:name w:val="concat-title"/>
    <w:basedOn w:val="10"/>
    <w:qFormat/>
    <w:uiPriority w:val="0"/>
    <w:rPr>
      <w:color w:val="666666"/>
      <w:sz w:val="16"/>
      <w:szCs w:val="16"/>
    </w:rPr>
  </w:style>
  <w:style w:type="character" w:customStyle="1" w:styleId="33">
    <w:name w:val="nth-child(1)"/>
    <w:basedOn w:val="10"/>
    <w:qFormat/>
    <w:uiPriority w:val="0"/>
  </w:style>
  <w:style w:type="character" w:customStyle="1" w:styleId="34">
    <w:name w:val="nth-child(2)"/>
    <w:basedOn w:val="10"/>
    <w:qFormat/>
    <w:uiPriority w:val="0"/>
  </w:style>
  <w:style w:type="character" w:customStyle="1" w:styleId="35">
    <w:name w:val="nth-child(2)1"/>
    <w:basedOn w:val="10"/>
    <w:qFormat/>
    <w:uiPriority w:val="0"/>
  </w:style>
  <w:style w:type="character" w:customStyle="1" w:styleId="36">
    <w:name w:val="hover"/>
    <w:basedOn w:val="10"/>
    <w:qFormat/>
    <w:uiPriority w:val="0"/>
    <w:rPr>
      <w:color w:val="004098"/>
      <w:bdr w:val="single" w:color="004098" w:sz="4" w:space="0"/>
    </w:rPr>
  </w:style>
  <w:style w:type="character" w:customStyle="1" w:styleId="37">
    <w:name w:val="hover1"/>
    <w:basedOn w:val="10"/>
    <w:qFormat/>
    <w:uiPriority w:val="0"/>
    <w:rPr>
      <w:color w:val="FFFFFF"/>
      <w:shd w:val="clear" w:fill="004098"/>
    </w:rPr>
  </w:style>
  <w:style w:type="character" w:customStyle="1" w:styleId="38">
    <w:name w:val="hover2"/>
    <w:basedOn w:val="10"/>
    <w:qFormat/>
    <w:uiPriority w:val="0"/>
    <w:rPr>
      <w:color w:val="FFFFFF"/>
    </w:rPr>
  </w:style>
  <w:style w:type="character" w:customStyle="1" w:styleId="39">
    <w:name w:val="hover3"/>
    <w:basedOn w:val="10"/>
    <w:qFormat/>
    <w:uiPriority w:val="0"/>
    <w:rPr>
      <w:color w:val="FFFFFF"/>
      <w:shd w:val="clear" w:fill="6495ED"/>
    </w:rPr>
  </w:style>
  <w:style w:type="character" w:customStyle="1" w:styleId="40">
    <w:name w:val="on"/>
    <w:basedOn w:val="10"/>
    <w:qFormat/>
    <w:uiPriority w:val="0"/>
    <w:rPr>
      <w:color w:val="FFFFFF"/>
      <w:shd w:val="clear" w:fill="004098"/>
    </w:rPr>
  </w:style>
  <w:style w:type="paragraph" w:customStyle="1" w:styleId="41">
    <w:name w:val="正文样式my + 首行缩进:  0.74 厘米"/>
    <w:basedOn w:val="42"/>
    <w:qFormat/>
    <w:uiPriority w:val="0"/>
    <w:pPr>
      <w:ind w:firstLine="420"/>
    </w:pPr>
    <w:rPr>
      <w:rFonts w:cs="宋体"/>
      <w:szCs w:val="20"/>
    </w:rPr>
  </w:style>
  <w:style w:type="paragraph" w:customStyle="1" w:styleId="42">
    <w:name w:val="正文样式1"/>
    <w:basedOn w:val="1"/>
    <w:qFormat/>
    <w:uiPriority w:val="0"/>
    <w:pPr>
      <w:spacing w:line="360" w:lineRule="auto"/>
      <w:ind w:firstLine="480"/>
    </w:pPr>
    <w:rPr>
      <w:rFonts w:ascii="宋体" w:hAnsi="宋体"/>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26</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2025-09-18T07:40:00Z</dcterms:created>
  <dc:creator>WPS_1739925737</dc:creator>
  <cp:lastModifiedBy>白雅珊</cp:lastModifiedBy>
  <dcterms:modified xsi:type="dcterms:W3CDTF">2026-06-22T07:44:13Z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1E01DE716C3D478982888638BCCCEF7D_13</vt:lpwstr>
  </property>
  <property fmtid="{D5CDD505-2E9C-101B-9397-08002B2CF9AE}" pid="4" name="KSOTemplateDocerSaveRecord">
    <vt:lpwstr>eyJoZGlkIjoiYWU2MTdkZDRiMDcyMTJhOGIyMzA3MjY5NTA1ZWYzMjIiLCJ1c2VySWQiOiIxNjgxMzEzMDc0In0=</vt:lpwstr>
  </property>
</Properties>
</file>