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厦门国际银行新总部大厦家具采购项目</w:t>
      </w:r>
    </w:p>
    <w:p>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ascii="宋体" w:hAnsi="宋体" w:eastAsia="宋体" w:cs="宋体"/>
          <w:b/>
          <w:bCs/>
          <w:sz w:val="32"/>
          <w:szCs w:val="32"/>
        </w:rPr>
      </w:pPr>
      <w:r>
        <w:rPr>
          <w:rFonts w:hint="eastAsia" w:ascii="宋体" w:hAnsi="宋体" w:eastAsia="宋体" w:cs="宋体"/>
          <w:b/>
          <w:bCs/>
          <w:sz w:val="32"/>
          <w:szCs w:val="32"/>
          <w:lang w:val="en-US" w:eastAsia="zh-CN"/>
        </w:rPr>
        <w:t>供应商征集调研公告</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rPr>
      </w:pPr>
      <w:r>
        <w:rPr>
          <w:rFonts w:hint="eastAsia" w:ascii="宋体" w:hAnsi="宋体" w:eastAsia="宋体" w:cs="宋体"/>
          <w:sz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厦门国际银行股份有限公司（简称”厦门国际银行“、“征集人”、“我行”）根据工作需要，拟开展厦门国际银行新总部大厦家具采购项目供应商征集调研，有关事宜公告如下：</w:t>
      </w:r>
    </w:p>
    <w:p>
      <w:pPr>
        <w:keepNext w:val="0"/>
        <w:keepLines w:val="0"/>
        <w:pageBreakBefore w:val="0"/>
        <w:widowControl w:val="0"/>
        <w:numPr>
          <w:ilvl w:val="0"/>
          <w:numId w:val="3"/>
        </w:numPr>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sz w:val="24"/>
          <w:lang w:val="en-US" w:eastAsia="zh-CN"/>
        </w:rPr>
      </w:pPr>
      <w:r>
        <w:rPr>
          <w:rFonts w:hint="eastAsia" w:ascii="宋体" w:hAnsi="宋体" w:eastAsia="宋体" w:cs="宋体"/>
          <w:b/>
          <w:bCs/>
          <w:sz w:val="24"/>
          <w:lang w:val="en-US" w:eastAsia="zh-CN"/>
        </w:rPr>
        <w:t>采购需求及资格要求</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sz w:val="24"/>
          <w:lang w:val="en-US" w:eastAsia="zh-CN"/>
        </w:rPr>
      </w:pPr>
      <w:r>
        <w:rPr>
          <w:rFonts w:hint="eastAsia" w:ascii="宋体" w:hAnsi="宋体" w:eastAsia="宋体" w:cs="宋体"/>
          <w:b/>
          <w:bCs/>
          <w:sz w:val="24"/>
          <w:lang w:val="en-US" w:eastAsia="zh-CN"/>
        </w:rPr>
        <w:t>1. 采购需求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lang w:val="en-US"/>
        </w:rPr>
      </w:pPr>
      <w:r>
        <w:rPr>
          <w:rFonts w:hint="eastAsia" w:ascii="宋体" w:hAnsi="宋体" w:eastAsia="宋体" w:cs="宋体"/>
          <w:sz w:val="24"/>
          <w:lang w:val="en-US" w:eastAsia="zh-CN"/>
        </w:rPr>
        <w:t>本项目为厦门国际银行新总部大厦全楼办公家具采购项目。家具品类根据功能使用区划分，包括但不限于独立办公室家具及公共区域会议桌、会议椅、员工卡位、员工椅、档案柜、休闲等候沙发、茶桌、储物柜和餐厅家具等。后续正式邀请时预计需对班台、主管桌、员工卡位、员工椅、会议椅及餐厅家具等家具进行实物摆样。</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szCs w:val="24"/>
          <w:highlight w:val="none"/>
        </w:rPr>
        <w:t>本项目的管理主体不得转包。</w:t>
      </w:r>
      <w:r>
        <w:rPr>
          <w:rFonts w:hint="eastAsia" w:ascii="宋体" w:hAnsi="宋体" w:eastAsia="宋体" w:cs="宋体"/>
          <w:sz w:val="24"/>
          <w:lang w:val="en-US" w:eastAsia="zh-CN"/>
        </w:rPr>
        <w:t>本项目不接受联合体参与。</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项目工作地点为福建省厦门市。</w:t>
      </w:r>
    </w:p>
    <w:p>
      <w:pPr>
        <w:keepNext w:val="0"/>
        <w:keepLines w:val="0"/>
        <w:pageBreakBefore w:val="0"/>
        <w:widowControl w:val="0"/>
        <w:numPr>
          <w:ilvl w:val="0"/>
          <w:numId w:val="4"/>
        </w:numPr>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bCs/>
          <w:sz w:val="24"/>
          <w:lang w:val="en-US" w:eastAsia="zh-CN"/>
        </w:rPr>
      </w:pPr>
      <w:r>
        <w:rPr>
          <w:rFonts w:hint="eastAsia" w:ascii="宋体" w:hAnsi="宋体" w:eastAsia="宋体" w:cs="宋体"/>
          <w:b/>
          <w:bCs/>
          <w:sz w:val="24"/>
          <w:lang w:val="en-US" w:eastAsia="zh-CN"/>
        </w:rPr>
        <w:t>技术要求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2.1 家具应按国家现行技术标准和规范进行设计和制造。</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2.2 拥有履行合同所必须的工厂、技术设备和专业团队，符合国家法律法规要求及环评要求。</w:t>
      </w:r>
    </w:p>
    <w:p>
      <w:pPr>
        <w:pStyle w:val="7"/>
        <w:keepNext w:val="0"/>
        <w:keepLines w:val="0"/>
        <w:pageBreakBefore w:val="0"/>
        <w:widowControl w:val="0"/>
        <w:kinsoku/>
        <w:wordWrap/>
        <w:overflowPunct/>
        <w:topLinePunct w:val="0"/>
        <w:autoSpaceDE/>
        <w:autoSpaceDN/>
        <w:bidi w:val="0"/>
        <w:adjustRightInd/>
        <w:spacing w:line="44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2.3 工厂必须为供应商自有的工厂（独资或控股），且必须具备良好的售后服务和技术支持。</w:t>
      </w:r>
      <w:r>
        <w:rPr>
          <w:rFonts w:hint="eastAsia" w:ascii="宋体" w:hAnsi="宋体" w:eastAsia="宋体" w:cs="宋体"/>
          <w:i w:val="0"/>
          <w:iCs w:val="0"/>
          <w:caps w:val="0"/>
          <w:color w:val="auto"/>
          <w:spacing w:val="0"/>
          <w:sz w:val="24"/>
          <w:szCs w:val="18"/>
        </w:rPr>
        <w:t>原则上禁止使用第三方工厂进行生产，</w:t>
      </w:r>
      <w:r>
        <w:rPr>
          <w:rFonts w:hint="eastAsia" w:ascii="宋体" w:hAnsi="宋体" w:eastAsia="宋体" w:cs="宋体"/>
          <w:i w:val="0"/>
          <w:iCs w:val="0"/>
          <w:caps w:val="0"/>
          <w:spacing w:val="0"/>
          <w:sz w:val="24"/>
          <w:szCs w:val="18"/>
          <w:lang w:val="en-US" w:eastAsia="zh-CN"/>
        </w:rPr>
        <w:t>个别</w:t>
      </w:r>
      <w:r>
        <w:rPr>
          <w:rFonts w:hint="eastAsia" w:ascii="宋体" w:hAnsi="宋体" w:eastAsia="宋体" w:cs="宋体"/>
          <w:i w:val="0"/>
          <w:iCs w:val="0"/>
          <w:caps w:val="0"/>
          <w:spacing w:val="0"/>
          <w:sz w:val="24"/>
          <w:szCs w:val="18"/>
        </w:rPr>
        <w:t>特殊办公家具产品</w:t>
      </w:r>
      <w:r>
        <w:rPr>
          <w:rFonts w:hint="eastAsia" w:ascii="宋体" w:hAnsi="宋体" w:eastAsia="宋体" w:cs="宋体"/>
          <w:i w:val="0"/>
          <w:iCs w:val="0"/>
          <w:caps w:val="0"/>
          <w:color w:val="auto"/>
          <w:spacing w:val="0"/>
          <w:sz w:val="24"/>
          <w:szCs w:val="18"/>
        </w:rPr>
        <w:t>确需</w:t>
      </w:r>
      <w:r>
        <w:rPr>
          <w:rFonts w:hint="eastAsia" w:ascii="宋体" w:hAnsi="宋体" w:eastAsia="宋体" w:cs="宋体"/>
          <w:i w:val="0"/>
          <w:iCs w:val="0"/>
          <w:caps w:val="0"/>
          <w:spacing w:val="0"/>
          <w:sz w:val="24"/>
          <w:szCs w:val="18"/>
          <w:lang w:val="en-US" w:eastAsia="zh-CN"/>
        </w:rPr>
        <w:t>通过</w:t>
      </w:r>
      <w:r>
        <w:rPr>
          <w:rFonts w:hint="eastAsia" w:ascii="宋体" w:hAnsi="宋体" w:eastAsia="宋体" w:cs="宋体"/>
          <w:i w:val="0"/>
          <w:iCs w:val="0"/>
          <w:caps w:val="0"/>
          <w:color w:val="auto"/>
          <w:spacing w:val="0"/>
          <w:sz w:val="24"/>
          <w:szCs w:val="18"/>
        </w:rPr>
        <w:t>第三方工厂生产的，需经征集人</w:t>
      </w:r>
      <w:r>
        <w:rPr>
          <w:rFonts w:hint="eastAsia" w:ascii="宋体" w:hAnsi="宋体" w:eastAsia="宋体" w:cs="宋体"/>
          <w:i w:val="0"/>
          <w:iCs w:val="0"/>
          <w:caps w:val="0"/>
          <w:spacing w:val="0"/>
          <w:sz w:val="24"/>
          <w:szCs w:val="18"/>
          <w:lang w:val="en-US" w:eastAsia="zh-CN"/>
        </w:rPr>
        <w:t>书面</w:t>
      </w:r>
      <w:r>
        <w:rPr>
          <w:rFonts w:hint="eastAsia" w:ascii="宋体" w:hAnsi="宋体" w:eastAsia="宋体" w:cs="宋体"/>
          <w:i w:val="0"/>
          <w:iCs w:val="0"/>
          <w:caps w:val="0"/>
          <w:color w:val="auto"/>
          <w:spacing w:val="0"/>
          <w:sz w:val="24"/>
          <w:szCs w:val="18"/>
        </w:rPr>
        <w:t>认可后方可实施。</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sz w:val="24"/>
        </w:rPr>
      </w:pPr>
      <w:r>
        <w:rPr>
          <w:rFonts w:hint="eastAsia" w:ascii="宋体" w:hAnsi="宋体" w:eastAsia="宋体" w:cs="宋体"/>
          <w:b/>
          <w:bCs/>
          <w:sz w:val="24"/>
          <w:lang w:val="en-US" w:eastAsia="zh-CN"/>
        </w:rPr>
        <w:t>3. 人员资质要求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bCs/>
          <w:sz w:val="24"/>
          <w:lang w:val="en-US" w:eastAsia="zh-CN"/>
        </w:rPr>
      </w:pPr>
      <w:r>
        <w:rPr>
          <w:rFonts w:hint="eastAsia" w:ascii="宋体" w:hAnsi="宋体" w:eastAsia="宋体" w:cs="宋体"/>
          <w:sz w:val="24"/>
          <w:lang w:val="en-US" w:eastAsia="zh-CN"/>
        </w:rPr>
        <w:t>实施团队需有专职的项目经理和技术负责人，项目经理具有至少5年及以上工作经历（以大专及以上学历毕业时间起计算），实施团队人员不少于10人。</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sz w:val="24"/>
        </w:rPr>
      </w:pPr>
      <w:r>
        <w:rPr>
          <w:rFonts w:hint="eastAsia" w:ascii="宋体" w:hAnsi="宋体" w:eastAsia="宋体" w:cs="宋体"/>
          <w:b/>
          <w:bCs/>
          <w:sz w:val="24"/>
          <w:lang w:val="en-US" w:eastAsia="zh-CN"/>
        </w:rPr>
        <w:t>4. 供应商资质要求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4.1 企业成</w:t>
      </w:r>
      <w:r>
        <w:rPr>
          <w:rFonts w:hint="eastAsia" w:ascii="宋体" w:hAnsi="宋体" w:eastAsia="宋体" w:cs="宋体"/>
          <w:sz w:val="24"/>
          <w:highlight w:val="none"/>
          <w:lang w:val="en-US" w:eastAsia="zh-CN"/>
        </w:rPr>
        <w:t>立5年及</w:t>
      </w:r>
      <w:r>
        <w:rPr>
          <w:rFonts w:hint="eastAsia" w:ascii="宋体" w:hAnsi="宋体" w:eastAsia="宋体" w:cs="宋体"/>
          <w:sz w:val="24"/>
          <w:lang w:val="en-US" w:eastAsia="zh-CN"/>
        </w:rPr>
        <w:t>以上，当前未处于限制开展生产经营活动、责令停产停业、责令关闭、限制从业等重大行政处罚期内。</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4.2 近三年经营良好，财务稳健，可持续稳定提供服务。</w:t>
      </w:r>
    </w:p>
    <w:p>
      <w:pPr>
        <w:keepNext w:val="0"/>
        <w:keepLines w:val="0"/>
        <w:widowControl w:val="0"/>
        <w:spacing w:line="440" w:lineRule="exact"/>
        <w:ind w:firstLine="480" w:firstLineChars="200"/>
        <w:jc w:val="both"/>
        <w:outlineLvl w:val="3"/>
        <w:rPr>
          <w:rFonts w:hint="eastAsia" w:ascii="宋体" w:hAnsi="宋体" w:eastAsia="宋体" w:cs="宋体"/>
        </w:rPr>
      </w:pPr>
      <w:r>
        <w:rPr>
          <w:rFonts w:hint="eastAsia" w:ascii="宋体" w:hAnsi="宋体" w:eastAsia="宋体" w:cs="宋体"/>
          <w:sz w:val="24"/>
          <w:lang w:val="en-US" w:eastAsia="zh-CN"/>
        </w:rPr>
        <w:t>4.3 具备2021年1月1日（含）至今(以合同签订日期为准）合同金额超过1000万元、与本项目相似的办公楼办公家具项目成交案例。</w:t>
      </w:r>
    </w:p>
    <w:p>
      <w:pPr>
        <w:keepNext w:val="0"/>
        <w:keepLines w:val="0"/>
        <w:widowControl w:val="0"/>
        <w:spacing w:line="440" w:lineRule="exact"/>
        <w:ind w:firstLine="480" w:firstLineChars="200"/>
        <w:jc w:val="both"/>
        <w:outlineLvl w:val="3"/>
        <w:rPr>
          <w:rFonts w:hint="eastAsia" w:ascii="宋体" w:hAnsi="宋体" w:eastAsia="宋体" w:cs="宋体"/>
          <w:b w:val="0"/>
          <w:bCs w:val="0"/>
          <w:sz w:val="24"/>
          <w:lang w:val="en-US" w:eastAsia="zh-CN"/>
        </w:rPr>
      </w:pPr>
      <w:r>
        <w:rPr>
          <w:rFonts w:hint="eastAsia" w:ascii="宋体" w:hAnsi="宋体" w:eastAsia="宋体" w:cs="宋体"/>
          <w:b w:val="0"/>
          <w:bCs w:val="0"/>
          <w:sz w:val="24"/>
          <w:lang w:val="en-US" w:eastAsia="zh-CN"/>
        </w:rPr>
        <w:t>4.4 供应商必须为家具的生产商，不接受家具代理商报名。</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4.5 供应商</w:t>
      </w:r>
      <w:r>
        <w:rPr>
          <w:rFonts w:hint="eastAsia" w:ascii="宋体" w:hAnsi="宋体" w:eastAsia="宋体" w:cs="宋体"/>
          <w:b w:val="0"/>
          <w:bCs w:val="0"/>
          <w:sz w:val="24"/>
          <w:lang w:val="en-US" w:eastAsia="zh-CN"/>
        </w:rPr>
        <w:t>须在厦门本地有售后服务网点且成立5年以上（包含：全资子公司，分公司，授权经销商）</w:t>
      </w:r>
      <w:r>
        <w:rPr>
          <w:rFonts w:hint="eastAsia" w:ascii="宋体" w:hAnsi="宋体" w:eastAsia="宋体" w:cs="宋体"/>
          <w:sz w:val="24"/>
          <w:lang w:val="en-US" w:eastAsia="zh-CN"/>
        </w:rPr>
        <w:t>。</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sz w:val="24"/>
        </w:rPr>
      </w:pPr>
      <w:r>
        <w:rPr>
          <w:rFonts w:hint="eastAsia" w:ascii="宋体" w:hAnsi="宋体" w:eastAsia="宋体" w:cs="宋体"/>
          <w:b/>
          <w:bCs/>
          <w:sz w:val="24"/>
          <w:lang w:val="en-US" w:eastAsia="zh-CN"/>
        </w:rPr>
        <w:t>5. 服务要求</w:t>
      </w:r>
    </w:p>
    <w:p>
      <w:pPr>
        <w:pStyle w:val="7"/>
        <w:keepNext w:val="0"/>
        <w:keepLines w:val="0"/>
        <w:pageBreakBefore w:val="0"/>
        <w:widowControl w:val="0"/>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5.1 供应商承诺免费质保期不低于10年。</w:t>
      </w:r>
    </w:p>
    <w:p>
      <w:pPr>
        <w:pStyle w:val="7"/>
        <w:keepNext w:val="0"/>
        <w:keepLines w:val="0"/>
        <w:pageBreakBefore w:val="0"/>
        <w:widowControl w:val="0"/>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5.2 供应商能够根据征集人需求，定期提供家具翻新或家具清洗服务。</w:t>
      </w:r>
    </w:p>
    <w:p>
      <w:pPr>
        <w:pStyle w:val="7"/>
        <w:keepNext w:val="0"/>
        <w:keepLines w:val="0"/>
        <w:pageBreakBefore w:val="0"/>
        <w:widowControl w:val="0"/>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5.3 供应商须承诺：根据征集人需求，完成全楼办公家具配置方案深化，制作一定的数量的多媒体材料（如效果图、动画等），配合各品类家具定制、打样工作。</w:t>
      </w:r>
    </w:p>
    <w:p>
      <w:pPr>
        <w:pStyle w:val="7"/>
        <w:keepNext w:val="0"/>
        <w:keepLines w:val="0"/>
        <w:pageBreakBefore w:val="0"/>
        <w:widowControl w:val="0"/>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5.4 供应商须承诺：合同签订后所有材质、颜色、工艺确定后板式类家具生产周期30个日历天完成，油漆类家具生产周期45个日历天完成，软件类家具生产周期30个日历天完成（国家法定假期除外）。</w:t>
      </w:r>
    </w:p>
    <w:p>
      <w:pPr>
        <w:pStyle w:val="7"/>
        <w:keepNext w:val="0"/>
        <w:keepLines w:val="0"/>
        <w:pageBreakBefore w:val="0"/>
        <w:widowControl w:val="0"/>
        <w:kinsoku/>
        <w:wordWrap/>
        <w:overflowPunct/>
        <w:topLinePunct w:val="0"/>
        <w:autoSpaceDE/>
        <w:autoSpaceDN/>
        <w:bidi w:val="0"/>
        <w:adjustRightInd/>
        <w:snapToGrid w:val="0"/>
        <w:spacing w:line="44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5.5 供应商须承诺：合同签订后所有材质、颜色、工艺立刻开始生产，并保证交货前对家具进行通风除味处理，时间达90个日历天以上，征集人有权进行随时检查，如发现违反此承诺，无理由接受征集人扣除合同金额10%的违约金。</w:t>
      </w:r>
    </w:p>
    <w:p>
      <w:pPr>
        <w:pStyle w:val="7"/>
        <w:keepNext w:val="0"/>
        <w:keepLines w:val="0"/>
        <w:pageBreakBefore w:val="0"/>
        <w:widowControl w:val="0"/>
        <w:kinsoku/>
        <w:wordWrap/>
        <w:overflowPunct/>
        <w:topLinePunct w:val="0"/>
        <w:autoSpaceDE/>
        <w:autoSpaceDN/>
        <w:bidi w:val="0"/>
        <w:adjustRightInd/>
        <w:snapToGrid w:val="0"/>
        <w:spacing w:line="440" w:lineRule="exact"/>
        <w:ind w:firstLine="482" w:firstLineChars="200"/>
        <w:textAlignment w:val="auto"/>
        <w:rPr>
          <w:rFonts w:hint="eastAsia" w:ascii="宋体" w:hAnsi="宋体" w:eastAsia="宋体" w:cs="宋体"/>
          <w:b/>
          <w:bCs/>
          <w:sz w:val="24"/>
          <w:lang w:val="en-US"/>
        </w:rPr>
      </w:pPr>
      <w:r>
        <w:rPr>
          <w:rFonts w:hint="eastAsia" w:ascii="宋体" w:hAnsi="宋体" w:eastAsia="宋体" w:cs="宋体"/>
          <w:b/>
          <w:bCs/>
          <w:sz w:val="24"/>
          <w:lang w:val="en-US" w:eastAsia="zh-CN"/>
        </w:rPr>
        <w:t>二、报名要求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 为中华人民共和国境内合法注册的独立法人，具有独立承担民事责任的能力，拥有合法有效的工商营业执照，且经营范围包含本次采购需求。</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2. 充分理解采购需求并能够根据需求提供相应的服务。</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3. 遵守国家有关法律、法规，具有良好的商业信誉和健全的财务会计制度，具有依法缴纳社会保障资金的良好记录。</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4. 截至征集时间，未被“信用中国”网站（http://www.creditchina.gov.cn）列入失信被执行人、重大税收违法失信主体、政府采购严重违法失信行为记录名单（提供“信用中国”网站查询截图），未被“国家企业信用信息公示系统（https://www.gsxt.gov.cn/index.html）”列入严重违法失信企业名单、经营异常名录（提供“国家企业信用信息公示系统”网站查询截图），不在厦门国际银行供应商黑名单中。</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5. 经营范围经国家行政管理部门依法批准，同时获得从事行业有效执业证明、行政许可、专业资质等证照。</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lang w:val="en-US" w:eastAsia="zh-CN"/>
        </w:rPr>
      </w:pPr>
      <w:r>
        <w:rPr>
          <w:rFonts w:hint="default" w:ascii="宋体" w:hAnsi="宋体" w:eastAsia="宋体" w:cs="宋体"/>
          <w:sz w:val="24"/>
          <w:lang w:val="en-US" w:eastAsia="zh-CN"/>
        </w:rPr>
        <w:t>6</w:t>
      </w:r>
      <w:r>
        <w:rPr>
          <w:rFonts w:hint="eastAsia" w:ascii="宋体" w:hAnsi="宋体" w:eastAsia="宋体" w:cs="宋体"/>
          <w:sz w:val="24"/>
          <w:lang w:val="en-US" w:eastAsia="zh-CN"/>
        </w:rPr>
        <w:t>. 同一法定代表人的两个及两个以上法人、母公司、全资子公司及其控股公司不得在同一次项目中参加报名。</w:t>
      </w:r>
    </w:p>
    <w:p>
      <w:pPr>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sz w:val="24"/>
        </w:rPr>
      </w:pPr>
      <w:r>
        <w:rPr>
          <w:rFonts w:hint="eastAsia" w:ascii="宋体" w:hAnsi="宋体" w:eastAsia="宋体" w:cs="宋体"/>
          <w:b/>
          <w:bCs/>
          <w:sz w:val="24"/>
          <w:lang w:val="en-US" w:eastAsia="zh-CN"/>
        </w:rPr>
        <w:t>三、征集时间</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本次供应商征集调研自即日起至2026</w:t>
      </w:r>
      <w:r>
        <w:rPr>
          <w:rFonts w:hint="eastAsia" w:ascii="宋体" w:hAnsi="宋体" w:eastAsia="宋体" w:cs="宋体"/>
          <w:sz w:val="24"/>
          <w:highlight w:val="none"/>
          <w:lang w:val="en-US" w:eastAsia="zh-CN"/>
        </w:rPr>
        <w:t>年6月17</w:t>
      </w:r>
      <w:bookmarkStart w:id="0" w:name="_GoBack"/>
      <w:bookmarkEnd w:id="0"/>
      <w:r>
        <w:rPr>
          <w:rFonts w:hint="eastAsia" w:ascii="宋体" w:hAnsi="宋体" w:eastAsia="宋体" w:cs="宋体"/>
          <w:sz w:val="24"/>
          <w:highlight w:val="none"/>
          <w:lang w:val="en-US" w:eastAsia="zh-CN"/>
        </w:rPr>
        <w:t>日23：59</w:t>
      </w:r>
      <w:r>
        <w:rPr>
          <w:rFonts w:hint="eastAsia" w:ascii="宋体" w:hAnsi="宋体" w:eastAsia="宋体" w:cs="宋体"/>
          <w:sz w:val="24"/>
          <w:lang w:val="en-US" w:eastAsia="zh-CN"/>
        </w:rPr>
        <w:t>止。</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2" w:firstLineChars="200"/>
        <w:textAlignment w:val="auto"/>
        <w:rPr>
          <w:rFonts w:hint="eastAsia" w:ascii="宋体" w:hAnsi="宋体" w:eastAsia="宋体" w:cs="宋体"/>
          <w:sz w:val="24"/>
        </w:rPr>
      </w:pPr>
      <w:r>
        <w:rPr>
          <w:rFonts w:hint="eastAsia" w:ascii="宋体" w:hAnsi="宋体" w:eastAsia="宋体" w:cs="宋体"/>
          <w:b/>
          <w:bCs/>
          <w:sz w:val="24"/>
          <w:lang w:val="en-US" w:eastAsia="zh-CN"/>
        </w:rPr>
        <w:t>四、报名方式</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联系人：白老师，联系电话：</w:t>
      </w:r>
      <w:r>
        <w:rPr>
          <w:rFonts w:hint="eastAsia" w:ascii="宋体" w:hAnsi="宋体" w:eastAsia="宋体" w:cs="宋体"/>
          <w:sz w:val="24"/>
        </w:rPr>
        <w:t>0592-2078888-</w:t>
      </w:r>
      <w:r>
        <w:rPr>
          <w:rFonts w:hint="eastAsia" w:ascii="宋体" w:hAnsi="宋体" w:eastAsia="宋体" w:cs="宋体"/>
          <w:sz w:val="24"/>
          <w:lang w:val="en-US" w:eastAsia="zh-CN"/>
        </w:rPr>
        <w:t>6163；</w:t>
      </w:r>
    </w:p>
    <w:p>
      <w:pPr>
        <w:keepNext w:val="0"/>
        <w:keepLines w:val="0"/>
        <w:pageBreakBefore w:val="0"/>
        <w:widowControl w:val="0"/>
        <w:kinsoku/>
        <w:wordWrap/>
        <w:overflowPunct/>
        <w:topLinePunct w:val="0"/>
        <w:autoSpaceDE/>
        <w:autoSpaceDN/>
        <w:bidi w:val="0"/>
        <w:adjustRightInd/>
        <w:snapToGrid/>
        <w:spacing w:line="440" w:lineRule="exact"/>
        <w:ind w:firstLine="1440" w:firstLineChars="6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许老师，联系电话：0592-2078888-6805。</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若有意向请将供应商资料于征集截止时间前提交至baiys@xib.com.cn、xuzhih@xib.com.cn邮箱。</w:t>
      </w:r>
      <w:r>
        <w:rPr>
          <w:rFonts w:hint="eastAsia" w:ascii="宋体" w:hAnsi="宋体" w:eastAsia="宋体" w:cs="宋体"/>
          <w:b/>
          <w:bCs/>
          <w:sz w:val="24"/>
        </w:rPr>
        <w:t>报名资料以指定邮箱收到为准，逾期将视为报名不成功。</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2" w:firstLineChars="200"/>
        <w:textAlignment w:val="auto"/>
        <w:rPr>
          <w:rFonts w:hint="eastAsia" w:ascii="宋体" w:hAnsi="宋体" w:eastAsia="宋体" w:cs="宋体"/>
          <w:sz w:val="24"/>
        </w:rPr>
      </w:pPr>
      <w:r>
        <w:rPr>
          <w:rFonts w:hint="eastAsia" w:ascii="宋体" w:hAnsi="宋体" w:eastAsia="宋体" w:cs="宋体"/>
          <w:b/>
          <w:bCs/>
          <w:sz w:val="24"/>
          <w:lang w:val="en-US" w:eastAsia="zh-CN"/>
        </w:rPr>
        <w:t>五、报名注意事项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 xml:space="preserve">1. 提交的供应商资料内容包括如下两项： </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附件1：《厦门国际银行新总部大厦家具采购项目》供应商征集反馈材料-公司名称（全称）</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附件2：承诺函</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rPr>
      </w:pPr>
      <w:r>
        <w:rPr>
          <w:rFonts w:hint="eastAsia" w:ascii="宋体" w:hAnsi="宋体" w:eastAsia="宋体" w:cs="宋体"/>
          <w:sz w:val="24"/>
        </w:rPr>
        <w:t>以上</w:t>
      </w:r>
      <w:r>
        <w:rPr>
          <w:rFonts w:hint="eastAsia" w:ascii="宋体" w:hAnsi="宋体" w:eastAsia="宋体" w:cs="宋体"/>
          <w:sz w:val="24"/>
          <w:lang w:val="en-US" w:eastAsia="zh-CN"/>
        </w:rPr>
        <w:t>两</w:t>
      </w:r>
      <w:r>
        <w:rPr>
          <w:rFonts w:hint="eastAsia" w:ascii="宋体" w:hAnsi="宋体" w:eastAsia="宋体" w:cs="宋体"/>
          <w:sz w:val="24"/>
        </w:rPr>
        <w:t>项材料</w:t>
      </w:r>
      <w:r>
        <w:rPr>
          <w:rFonts w:hint="eastAsia" w:ascii="宋体" w:hAnsi="宋体" w:eastAsia="宋体" w:cs="宋体"/>
          <w:sz w:val="24"/>
          <w:lang w:val="en-US" w:eastAsia="zh-CN"/>
        </w:rPr>
        <w:t>请</w:t>
      </w:r>
      <w:r>
        <w:rPr>
          <w:rFonts w:hint="eastAsia" w:ascii="宋体" w:hAnsi="宋体" w:eastAsia="宋体" w:cs="宋体"/>
          <w:b/>
          <w:bCs/>
          <w:color w:val="FF0000"/>
          <w:sz w:val="24"/>
          <w:lang w:val="en-US" w:eastAsia="zh-CN"/>
        </w:rPr>
        <w:t>参照</w:t>
      </w:r>
      <w:r>
        <w:rPr>
          <w:rFonts w:hint="eastAsia" w:ascii="宋体" w:hAnsi="宋体" w:eastAsia="宋体" w:cs="宋体"/>
          <w:b/>
          <w:bCs/>
          <w:color w:val="FF0000"/>
          <w:sz w:val="24"/>
        </w:rPr>
        <w:t>附件</w:t>
      </w:r>
      <w:r>
        <w:rPr>
          <w:rFonts w:hint="eastAsia" w:ascii="宋体" w:hAnsi="宋体" w:eastAsia="宋体" w:cs="宋体"/>
          <w:b/>
          <w:bCs/>
          <w:color w:val="FF0000"/>
          <w:sz w:val="24"/>
          <w:lang w:val="en-US" w:eastAsia="zh-CN"/>
        </w:rPr>
        <w:t>模板填写，勿改动格式</w:t>
      </w:r>
      <w:r>
        <w:rPr>
          <w:rFonts w:hint="eastAsia" w:ascii="宋体" w:hAnsi="宋体" w:eastAsia="宋体" w:cs="宋体"/>
          <w:sz w:val="24"/>
          <w:lang w:val="en-US" w:eastAsia="zh-CN"/>
        </w:rPr>
        <w:t>，并</w:t>
      </w:r>
      <w:r>
        <w:rPr>
          <w:rFonts w:hint="eastAsia" w:ascii="宋体" w:hAnsi="宋体" w:eastAsia="宋体" w:cs="宋体"/>
          <w:sz w:val="24"/>
        </w:rPr>
        <w:t>加盖公司（单位）公章</w:t>
      </w:r>
      <w:r>
        <w:rPr>
          <w:rFonts w:hint="eastAsia" w:ascii="宋体" w:hAnsi="宋体" w:eastAsia="宋体" w:cs="宋体"/>
          <w:b/>
          <w:bCs/>
          <w:sz w:val="24"/>
          <w:lang w:eastAsia="zh-CN"/>
        </w:rPr>
        <w:t>（</w:t>
      </w:r>
      <w:r>
        <w:rPr>
          <w:rFonts w:hint="eastAsia" w:ascii="宋体" w:hAnsi="宋体" w:eastAsia="宋体" w:cs="宋体"/>
          <w:b/>
          <w:bCs/>
          <w:sz w:val="24"/>
          <w:lang w:val="en-US" w:eastAsia="zh-CN"/>
        </w:rPr>
        <w:t>多页的需加盖骑缝章</w:t>
      </w:r>
      <w:r>
        <w:rPr>
          <w:rFonts w:hint="eastAsia" w:ascii="宋体" w:hAnsi="宋体" w:eastAsia="宋体" w:cs="宋体"/>
          <w:b/>
          <w:bCs/>
          <w:sz w:val="24"/>
          <w:lang w:eastAsia="zh-CN"/>
        </w:rPr>
        <w:t>）</w:t>
      </w:r>
      <w:r>
        <w:rPr>
          <w:rFonts w:hint="eastAsia" w:ascii="宋体" w:hAnsi="宋体" w:eastAsia="宋体" w:cs="宋体"/>
          <w:sz w:val="24"/>
        </w:rPr>
        <w:t>。</w:t>
      </w:r>
    </w:p>
    <w:p>
      <w:pPr>
        <w:keepNext w:val="0"/>
        <w:keepLines w:val="0"/>
        <w:pageBreakBefore w:val="0"/>
        <w:widowControl w:val="0"/>
        <w:numPr>
          <w:ilvl w:val="0"/>
          <w:numId w:val="5"/>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提交供应商资料应清晰且完整，大小不超过</w:t>
      </w:r>
      <w:r>
        <w:rPr>
          <w:rFonts w:hint="eastAsia" w:ascii="宋体" w:hAnsi="宋体" w:eastAsia="宋体" w:cs="宋体"/>
          <w:b/>
          <w:bCs/>
          <w:sz w:val="24"/>
          <w:lang w:val="en-US" w:eastAsia="zh-CN"/>
        </w:rPr>
        <w:t>30M</w:t>
      </w:r>
      <w:r>
        <w:rPr>
          <w:rFonts w:hint="eastAsia" w:ascii="宋体" w:hAnsi="宋体" w:eastAsia="宋体" w:cs="宋体"/>
          <w:sz w:val="24"/>
          <w:lang w:val="en-US" w:eastAsia="zh-CN"/>
        </w:rPr>
        <w:t>。（提交的邮件附件总大小超过</w:t>
      </w:r>
      <w:r>
        <w:rPr>
          <w:rFonts w:hint="eastAsia" w:ascii="宋体" w:hAnsi="宋体" w:eastAsia="宋体" w:cs="宋体"/>
          <w:b/>
          <w:bCs/>
          <w:sz w:val="24"/>
          <w:lang w:val="en-US" w:eastAsia="zh-CN"/>
        </w:rPr>
        <w:t>30M</w:t>
      </w:r>
      <w:r>
        <w:rPr>
          <w:rFonts w:hint="eastAsia" w:ascii="宋体" w:hAnsi="宋体" w:eastAsia="宋体" w:cs="宋体"/>
          <w:sz w:val="24"/>
          <w:lang w:val="en-US" w:eastAsia="zh-CN"/>
        </w:rPr>
        <w:t>自动拦截视为无效应答，附件请勿通过第三方邮箱转存附件，</w:t>
      </w:r>
      <w:r>
        <w:rPr>
          <w:rFonts w:hint="eastAsia" w:ascii="宋体" w:hAnsi="宋体" w:eastAsia="宋体" w:cs="宋体"/>
          <w:b/>
          <w:bCs/>
          <w:sz w:val="24"/>
          <w:lang w:val="en-US" w:eastAsia="zh-CN"/>
        </w:rPr>
        <w:t>材料1和材料2转为PDF格式发送。</w:t>
      </w:r>
      <w:r>
        <w:rPr>
          <w:rFonts w:hint="eastAsia" w:ascii="宋体" w:hAnsi="宋体" w:eastAsia="宋体" w:cs="宋体"/>
          <w:sz w:val="24"/>
          <w:lang w:val="en-US" w:eastAsia="zh-CN"/>
        </w:rPr>
        <w:t>）</w:t>
      </w:r>
    </w:p>
    <w:p>
      <w:pPr>
        <w:keepNext w:val="0"/>
        <w:keepLines w:val="0"/>
        <w:pageBreakBefore w:val="0"/>
        <w:widowControl w:val="0"/>
        <w:numPr>
          <w:ilvl w:val="0"/>
          <w:numId w:val="5"/>
        </w:numPr>
        <w:kinsoku/>
        <w:wordWrap/>
        <w:overflowPunct/>
        <w:topLinePunct w:val="0"/>
        <w:autoSpaceDE/>
        <w:autoSpaceDN/>
        <w:bidi w:val="0"/>
        <w:adjustRightInd/>
        <w:snapToGrid/>
        <w:spacing w:line="440" w:lineRule="exact"/>
        <w:ind w:left="0" w:leftChars="0" w:firstLine="482" w:firstLineChars="200"/>
        <w:textAlignment w:val="auto"/>
        <w:rPr>
          <w:rFonts w:hint="eastAsia" w:ascii="宋体" w:hAnsi="宋体" w:eastAsia="宋体" w:cs="宋体"/>
          <w:sz w:val="24"/>
          <w:lang w:val="en-US" w:eastAsia="zh-CN"/>
        </w:rPr>
      </w:pPr>
      <w:r>
        <w:rPr>
          <w:rFonts w:hint="eastAsia" w:ascii="宋体" w:hAnsi="宋体" w:eastAsia="宋体" w:cs="宋体"/>
          <w:b/>
          <w:bCs/>
          <w:sz w:val="24"/>
        </w:rPr>
        <w:t>非在库供应商请在征集时间内通过厦门国际银行采购门户网站（https://cpms.xib.com.cn/）完成注册，详情请登录门户网站查阅《厦门国际银行采购管理系统操作手册》</w:t>
      </w:r>
      <w:r>
        <w:rPr>
          <w:rFonts w:hint="eastAsia" w:ascii="宋体" w:hAnsi="宋体" w:eastAsia="宋体" w:cs="宋体"/>
          <w:sz w:val="24"/>
        </w:rPr>
        <w:t>。如已在厦门国际银行供应商库内，无需再次注册。</w:t>
      </w:r>
    </w:p>
    <w:p>
      <w:pPr>
        <w:keepNext w:val="0"/>
        <w:keepLines w:val="0"/>
        <w:pageBreakBefore w:val="0"/>
        <w:widowControl w:val="0"/>
        <w:numPr>
          <w:ilvl w:val="0"/>
          <w:numId w:val="5"/>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参与公开征集的供应商经审查通过后正式进入厦门国际银行供应商信息库，作为厦门国际银行在库供应商。进入厦门国际银行供应商库的供应商方可受邀参加厦门国际银行的采购项目。</w:t>
      </w:r>
    </w:p>
    <w:p>
      <w:pPr>
        <w:keepNext w:val="0"/>
        <w:keepLines w:val="0"/>
        <w:pageBreakBefore w:val="0"/>
        <w:widowControl w:val="0"/>
        <w:numPr>
          <w:ilvl w:val="0"/>
          <w:numId w:val="5"/>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rPr>
        <w:t>请按上述要求提供报名材料，报名资料须提供加盖公章的原件扫描件，对于递交资料不全的、资料内容缺失的，或未按要求加盖公章及法人签</w:t>
      </w:r>
      <w:r>
        <w:rPr>
          <w:rFonts w:hint="eastAsia" w:ascii="宋体" w:hAnsi="宋体" w:eastAsia="宋体" w:cs="宋体"/>
          <w:sz w:val="24"/>
          <w:lang w:val="en-US" w:eastAsia="zh-CN"/>
        </w:rPr>
        <w:t>章</w:t>
      </w:r>
      <w:r>
        <w:rPr>
          <w:rFonts w:hint="eastAsia" w:ascii="宋体" w:hAnsi="宋体" w:eastAsia="宋体" w:cs="宋体"/>
          <w:sz w:val="24"/>
        </w:rPr>
        <w:t>的原件电子扫描件视为报名资料缺漏，</w:t>
      </w:r>
      <w:r>
        <w:rPr>
          <w:rFonts w:hint="eastAsia" w:ascii="宋体" w:hAnsi="宋体" w:eastAsia="宋体" w:cs="宋体"/>
          <w:sz w:val="24"/>
          <w:lang w:val="en-US" w:eastAsia="zh-CN"/>
        </w:rPr>
        <w:t>征集</w:t>
      </w:r>
      <w:r>
        <w:rPr>
          <w:rFonts w:hint="eastAsia" w:ascii="宋体" w:hAnsi="宋体" w:eastAsia="宋体" w:cs="宋体"/>
          <w:sz w:val="24"/>
        </w:rPr>
        <w:t>人</w:t>
      </w:r>
      <w:r>
        <w:rPr>
          <w:rFonts w:hint="eastAsia" w:ascii="宋体" w:hAnsi="宋体" w:eastAsia="宋体" w:cs="宋体"/>
          <w:sz w:val="24"/>
          <w:lang w:val="en-US" w:eastAsia="zh-CN"/>
        </w:rPr>
        <w:t>有权</w:t>
      </w:r>
      <w:r>
        <w:rPr>
          <w:rFonts w:hint="eastAsia" w:ascii="宋体" w:hAnsi="宋体" w:eastAsia="宋体" w:cs="宋体"/>
          <w:sz w:val="24"/>
        </w:rPr>
        <w:t>将拒绝接受其报名。</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rPr>
        <w:t>★</w:t>
      </w:r>
      <w:r>
        <w:rPr>
          <w:rFonts w:hint="eastAsia" w:ascii="宋体" w:hAnsi="宋体" w:eastAsia="宋体" w:cs="宋体"/>
          <w:b/>
          <w:bCs/>
          <w:sz w:val="24"/>
        </w:rPr>
        <w:t>上述材料</w:t>
      </w:r>
      <w:r>
        <w:rPr>
          <w:rFonts w:hint="eastAsia" w:ascii="宋体" w:hAnsi="宋体" w:eastAsia="宋体" w:cs="宋体"/>
          <w:b/>
          <w:bCs/>
          <w:sz w:val="24"/>
          <w:lang w:val="en-US" w:eastAsia="zh-CN"/>
        </w:rPr>
        <w:t>内容</w:t>
      </w:r>
      <w:r>
        <w:rPr>
          <w:rFonts w:hint="eastAsia" w:ascii="宋体" w:hAnsi="宋体" w:eastAsia="宋体" w:cs="宋体"/>
          <w:b/>
          <w:bCs/>
          <w:sz w:val="24"/>
        </w:rPr>
        <w:t>均需</w:t>
      </w:r>
      <w:r>
        <w:rPr>
          <w:rFonts w:hint="eastAsia" w:ascii="宋体" w:hAnsi="宋体" w:eastAsia="宋体" w:cs="宋体"/>
          <w:b/>
          <w:bCs/>
          <w:sz w:val="24"/>
          <w:highlight w:val="none"/>
          <w:lang w:val="en-US" w:eastAsia="zh-CN"/>
        </w:rPr>
        <w:t>清晰显示</w:t>
      </w:r>
      <w:r>
        <w:rPr>
          <w:rFonts w:hint="eastAsia" w:ascii="宋体" w:hAnsi="宋体" w:eastAsia="宋体" w:cs="宋体"/>
          <w:b/>
          <w:bCs/>
          <w:sz w:val="24"/>
          <w:lang w:val="en-US" w:eastAsia="zh-CN"/>
        </w:rPr>
        <w:t>、</w:t>
      </w:r>
      <w:r>
        <w:rPr>
          <w:rFonts w:hint="eastAsia" w:ascii="宋体" w:hAnsi="宋体" w:eastAsia="宋体" w:cs="宋体"/>
          <w:b/>
          <w:bCs/>
          <w:sz w:val="24"/>
        </w:rPr>
        <w:t>加盖供应商单位公章且为PDF格式。</w:t>
      </w:r>
      <w:r>
        <w:rPr>
          <w:rFonts w:hint="eastAsia" w:ascii="宋体" w:hAnsi="宋体" w:eastAsia="宋体" w:cs="宋体"/>
          <w:b/>
          <w:bCs/>
          <w:sz w:val="24"/>
          <w:lang w:val="en-US" w:eastAsia="zh-CN"/>
        </w:rPr>
        <w:t>多页的需加盖骑缝章或每页盖章</w:t>
      </w:r>
      <w:r>
        <w:rPr>
          <w:rFonts w:hint="eastAsia" w:ascii="宋体" w:hAnsi="宋体" w:eastAsia="宋体" w:cs="宋体"/>
          <w:b/>
          <w:bCs/>
          <w:color w:val="FF0000"/>
          <w:sz w:val="24"/>
          <w:lang w:val="en-US" w:eastAsia="zh-CN"/>
        </w:rPr>
        <w:t>（请使用实体公章后扫描或电子签章规范用印，勿使用抠图、图片合成等方式“用印”）</w:t>
      </w:r>
      <w:r>
        <w:rPr>
          <w:rFonts w:hint="eastAsia" w:ascii="宋体" w:hAnsi="宋体" w:eastAsia="宋体" w:cs="宋体"/>
          <w:sz w:val="24"/>
          <w:lang w:val="en-US" w:eastAsia="zh-CN"/>
        </w:rPr>
        <w:t>。</w:t>
      </w:r>
    </w:p>
    <w:p>
      <w:pPr>
        <w:keepNext w:val="0"/>
        <w:keepLines w:val="0"/>
        <w:pageBreakBefore w:val="0"/>
        <w:widowControl w:val="0"/>
        <w:kinsoku/>
        <w:wordWrap/>
        <w:overflowPunct/>
        <w:topLinePunct w:val="0"/>
        <w:autoSpaceDE/>
        <w:autoSpaceDN/>
        <w:bidi w:val="0"/>
        <w:adjustRightInd/>
        <w:snapToGrid/>
        <w:spacing w:before="157" w:beforeLines="50" w:after="157" w:afterLines="50" w:line="440" w:lineRule="exact"/>
        <w:ind w:firstLine="482" w:firstLineChars="200"/>
        <w:textAlignment w:val="auto"/>
        <w:rPr>
          <w:rFonts w:hint="eastAsia" w:ascii="宋体" w:hAnsi="宋体" w:eastAsia="宋体" w:cs="宋体"/>
          <w:sz w:val="24"/>
        </w:rPr>
      </w:pPr>
      <w:r>
        <w:rPr>
          <w:rFonts w:hint="eastAsia" w:ascii="宋体" w:hAnsi="宋体" w:eastAsia="宋体" w:cs="宋体"/>
          <w:b/>
          <w:bCs/>
          <w:sz w:val="24"/>
          <w:lang w:val="en-US" w:eastAsia="zh-CN"/>
        </w:rPr>
        <w:t>六、其他注意事项</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1. 能够完全满足我行采购需求、有合作意向、符合资格要求、报名要求的供应商均可报名。</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bCs/>
          <w:color w:val="FF0000"/>
          <w:sz w:val="24"/>
          <w:lang w:val="en-US" w:eastAsia="zh-CN"/>
        </w:rPr>
      </w:pPr>
      <w:r>
        <w:rPr>
          <w:rFonts w:hint="eastAsia" w:ascii="宋体" w:hAnsi="宋体" w:eastAsia="宋体" w:cs="宋体"/>
          <w:sz w:val="24"/>
          <w:lang w:val="en-US" w:eastAsia="zh-CN"/>
        </w:rPr>
        <w:t xml:space="preserve">2. </w:t>
      </w:r>
      <w:r>
        <w:rPr>
          <w:rFonts w:hint="eastAsia" w:ascii="宋体" w:hAnsi="宋体" w:eastAsia="宋体" w:cs="宋体"/>
          <w:b w:val="0"/>
          <w:bCs w:val="0"/>
          <w:sz w:val="24"/>
          <w:szCs w:val="24"/>
          <w:u w:val="none"/>
        </w:rPr>
        <w:t>本</w:t>
      </w:r>
      <w:r>
        <w:rPr>
          <w:rFonts w:hint="eastAsia" w:ascii="宋体" w:hAnsi="宋体" w:eastAsia="宋体" w:cs="宋体"/>
          <w:b w:val="0"/>
          <w:bCs w:val="0"/>
          <w:sz w:val="24"/>
          <w:szCs w:val="24"/>
          <w:u w:val="none"/>
          <w:lang w:val="en-US" w:eastAsia="zh-CN"/>
        </w:rPr>
        <w:t>公告仅为本项目的供应商的意向调研和征集，不构成要约或要约邀请，我行将对报名者进行资格审查。审查完成后，</w:t>
      </w:r>
      <w:r>
        <w:rPr>
          <w:rFonts w:hint="eastAsia" w:ascii="宋体" w:hAnsi="宋体" w:eastAsia="宋体" w:cs="宋体"/>
          <w:b w:val="0"/>
          <w:bCs w:val="0"/>
          <w:sz w:val="24"/>
          <w:szCs w:val="24"/>
          <w:u w:val="none"/>
        </w:rPr>
        <w:t>我行将</w:t>
      </w:r>
      <w:r>
        <w:rPr>
          <w:rFonts w:hint="eastAsia" w:ascii="宋体" w:hAnsi="宋体" w:eastAsia="宋体" w:cs="宋体"/>
          <w:b w:val="0"/>
          <w:bCs w:val="0"/>
          <w:sz w:val="24"/>
          <w:szCs w:val="24"/>
          <w:u w:val="none"/>
          <w:lang w:val="en-US" w:eastAsia="zh-CN"/>
        </w:rPr>
        <w:t>根据项目进度通过电话或邮件</w:t>
      </w:r>
      <w:r>
        <w:rPr>
          <w:rFonts w:hint="eastAsia" w:ascii="宋体" w:hAnsi="宋体" w:eastAsia="宋体" w:cs="宋体"/>
          <w:b w:val="0"/>
          <w:bCs w:val="0"/>
          <w:sz w:val="24"/>
          <w:szCs w:val="24"/>
          <w:u w:val="none"/>
        </w:rPr>
        <w:t>主动联系</w:t>
      </w:r>
      <w:r>
        <w:rPr>
          <w:rFonts w:hint="eastAsia" w:ascii="宋体" w:hAnsi="宋体" w:eastAsia="宋体" w:cs="宋体"/>
          <w:b w:val="0"/>
          <w:bCs w:val="0"/>
          <w:sz w:val="24"/>
          <w:szCs w:val="24"/>
          <w:u w:val="none"/>
          <w:lang w:val="en-US" w:eastAsia="zh-CN"/>
        </w:rPr>
        <w:t>符合资格</w:t>
      </w:r>
      <w:r>
        <w:rPr>
          <w:rFonts w:hint="eastAsia" w:ascii="宋体" w:hAnsi="宋体" w:eastAsia="宋体" w:cs="宋体"/>
          <w:b w:val="0"/>
          <w:bCs w:val="0"/>
          <w:sz w:val="24"/>
          <w:szCs w:val="24"/>
          <w:u w:val="none"/>
        </w:rPr>
        <w:t>报名者；未予联系的报名者，我行将对材料予以保密。</w:t>
      </w:r>
    </w:p>
    <w:p>
      <w:pPr>
        <w:keepNext w:val="0"/>
        <w:keepLines w:val="0"/>
        <w:pageBreakBefore w:val="0"/>
        <w:widowControl w:val="0"/>
        <w:numPr>
          <w:ilvl w:val="0"/>
          <w:numId w:val="6"/>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征集人视收到的上述资料不涉及商业秘密，所有供应商报名资料恕不退还。</w:t>
      </w:r>
    </w:p>
    <w:p>
      <w:pPr>
        <w:keepNext w:val="0"/>
        <w:keepLines w:val="0"/>
        <w:pageBreakBefore w:val="0"/>
        <w:widowControl w:val="0"/>
        <w:numPr>
          <w:ilvl w:val="0"/>
          <w:numId w:val="6"/>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lang w:val="en-US" w:eastAsia="zh-CN"/>
        </w:rPr>
        <w:t>本次公开征集不收取供应商的任何费用。</w:t>
      </w:r>
    </w:p>
    <w:p>
      <w:pPr>
        <w:keepNext w:val="0"/>
        <w:keepLines w:val="0"/>
        <w:pageBreakBefore w:val="0"/>
        <w:widowControl w:val="0"/>
        <w:numPr>
          <w:ilvl w:val="0"/>
          <w:numId w:val="6"/>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lang w:val="en-US" w:eastAsia="zh-CN"/>
        </w:rPr>
      </w:pPr>
      <w:r>
        <w:rPr>
          <w:rFonts w:hint="eastAsia" w:ascii="宋体" w:hAnsi="宋体" w:eastAsia="宋体" w:cs="宋体"/>
          <w:sz w:val="24"/>
          <w:lang w:val="en-US" w:eastAsia="zh-CN"/>
        </w:rPr>
        <w:t>供应商须对报名信息和资料的真实性负责。如提供虚假材料，我行有权将其列入供应商黑名单，不得参与我行集中采购活动。</w:t>
      </w:r>
    </w:p>
    <w:p>
      <w:pPr>
        <w:keepNext w:val="0"/>
        <w:keepLines w:val="0"/>
        <w:pageBreakBefore w:val="0"/>
        <w:widowControl w:val="0"/>
        <w:numPr>
          <w:ilvl w:val="0"/>
          <w:numId w:val="6"/>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rPr>
      </w:pPr>
      <w:r>
        <w:rPr>
          <w:rFonts w:hint="eastAsia" w:ascii="宋体" w:hAnsi="宋体" w:eastAsia="宋体" w:cs="宋体"/>
          <w:sz w:val="24"/>
        </w:rPr>
        <w:t>对于上述事项存在疑问的，请及时与我行联系。</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rPr>
      </w:pPr>
      <w:r>
        <w:rPr>
          <w:rFonts w:hint="eastAsia" w:ascii="宋体" w:hAnsi="宋体" w:eastAsia="宋体" w:cs="宋体"/>
          <w:sz w:val="24"/>
        </w:rPr>
        <w:t>特此公告。</w:t>
      </w:r>
    </w:p>
    <w:p>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sz w:val="24"/>
        </w:rPr>
      </w:pPr>
    </w:p>
    <w:p>
      <w:pPr>
        <w:keepNext w:val="0"/>
        <w:keepLines w:val="0"/>
        <w:pageBreakBefore w:val="0"/>
        <w:widowControl w:val="0"/>
        <w:kinsoku/>
        <w:wordWrap/>
        <w:overflowPunct/>
        <w:topLinePunct w:val="0"/>
        <w:autoSpaceDE/>
        <w:autoSpaceDN/>
        <w:bidi w:val="0"/>
        <w:adjustRightInd/>
        <w:snapToGrid/>
        <w:spacing w:line="440" w:lineRule="exact"/>
        <w:jc w:val="right"/>
        <w:textAlignment w:val="auto"/>
        <w:rPr>
          <w:rFonts w:hint="eastAsia" w:ascii="宋体" w:hAnsi="宋体" w:eastAsia="宋体" w:cs="宋体"/>
          <w:sz w:val="24"/>
        </w:rPr>
      </w:pPr>
      <w:r>
        <w:rPr>
          <w:rFonts w:hint="eastAsia" w:ascii="宋体" w:hAnsi="宋体" w:eastAsia="宋体" w:cs="宋体"/>
          <w:sz w:val="24"/>
        </w:rPr>
        <w:t>厦门国际银行股份有限公司</w:t>
      </w:r>
    </w:p>
    <w:p>
      <w:pPr>
        <w:keepNext w:val="0"/>
        <w:keepLines w:val="0"/>
        <w:pageBreakBefore w:val="0"/>
        <w:widowControl w:val="0"/>
        <w:kinsoku/>
        <w:wordWrap/>
        <w:overflowPunct/>
        <w:topLinePunct w:val="0"/>
        <w:autoSpaceDE/>
        <w:autoSpaceDN/>
        <w:bidi w:val="0"/>
        <w:adjustRightInd/>
        <w:snapToGrid/>
        <w:spacing w:line="440" w:lineRule="exact"/>
        <w:jc w:val="right"/>
        <w:textAlignment w:val="auto"/>
        <w:rPr>
          <w:rFonts w:hint="eastAsia" w:ascii="宋体" w:hAnsi="宋体" w:eastAsia="宋体" w:cs="宋体"/>
          <w:sz w:val="24"/>
          <w:highlight w:val="none"/>
        </w:rPr>
      </w:pPr>
      <w:r>
        <w:rPr>
          <w:rFonts w:hint="eastAsia" w:ascii="宋体" w:hAnsi="宋体" w:eastAsia="宋体" w:cs="宋体"/>
          <w:sz w:val="24"/>
          <w:highlight w:val="none"/>
        </w:rPr>
        <w:t>202</w:t>
      </w:r>
      <w:r>
        <w:rPr>
          <w:rFonts w:hint="eastAsia" w:ascii="宋体" w:hAnsi="宋体" w:eastAsia="宋体" w:cs="宋体"/>
          <w:sz w:val="24"/>
          <w:highlight w:val="none"/>
          <w:lang w:val="en-US" w:eastAsia="zh-CN"/>
        </w:rPr>
        <w:t>6</w:t>
      </w:r>
      <w:r>
        <w:rPr>
          <w:rFonts w:hint="eastAsia" w:ascii="宋体" w:hAnsi="宋体" w:eastAsia="宋体" w:cs="宋体"/>
          <w:sz w:val="24"/>
          <w:highlight w:val="none"/>
        </w:rPr>
        <w:t>年</w:t>
      </w:r>
      <w:r>
        <w:rPr>
          <w:rFonts w:hint="eastAsia" w:ascii="宋体" w:hAnsi="宋体" w:eastAsia="宋体" w:cs="宋体"/>
          <w:sz w:val="24"/>
          <w:highlight w:val="none"/>
          <w:lang w:val="en-US" w:eastAsia="zh-CN"/>
        </w:rPr>
        <w:t>6</w:t>
      </w:r>
      <w:r>
        <w:rPr>
          <w:rFonts w:hint="eastAsia" w:ascii="宋体" w:hAnsi="宋体" w:eastAsia="宋体" w:cs="宋体"/>
          <w:sz w:val="24"/>
          <w:highlight w:val="none"/>
        </w:rPr>
        <w:t>月</w:t>
      </w:r>
      <w:r>
        <w:rPr>
          <w:rFonts w:hint="eastAsia" w:ascii="宋体" w:hAnsi="宋体" w:eastAsia="宋体" w:cs="宋体"/>
          <w:sz w:val="24"/>
          <w:highlight w:val="none"/>
          <w:lang w:val="en-US" w:eastAsia="zh-CN"/>
        </w:rPr>
        <w:t>12</w:t>
      </w:r>
      <w:r>
        <w:rPr>
          <w:rFonts w:hint="eastAsia" w:ascii="宋体" w:hAnsi="宋体" w:eastAsia="宋体" w:cs="宋体"/>
          <w:sz w:val="24"/>
          <w:highlight w:val="none"/>
        </w:rPr>
        <w:t>日</w:t>
      </w:r>
    </w:p>
    <w:p>
      <w:pPr>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A4E6A8"/>
    <w:multiLevelType w:val="singleLevel"/>
    <w:tmpl w:val="81A4E6A8"/>
    <w:lvl w:ilvl="0" w:tentative="0">
      <w:start w:val="1"/>
      <w:numFmt w:val="chineseCounting"/>
      <w:suff w:val="nothing"/>
      <w:lvlText w:val="%1、"/>
      <w:lvlJc w:val="left"/>
      <w:rPr>
        <w:rFonts w:hint="eastAsia"/>
      </w:rPr>
    </w:lvl>
  </w:abstractNum>
  <w:abstractNum w:abstractNumId="1">
    <w:nsid w:val="00000019"/>
    <w:multiLevelType w:val="multilevel"/>
    <w:tmpl w:val="00000019"/>
    <w:lvl w:ilvl="0" w:tentative="0">
      <w:start w:val="1"/>
      <w:numFmt w:val="decimal"/>
      <w:lvlText w:val="%1"/>
      <w:lvlJc w:val="left"/>
      <w:pPr>
        <w:tabs>
          <w:tab w:val="left" w:pos="432"/>
        </w:tabs>
        <w:ind w:left="432" w:hanging="432"/>
      </w:pPr>
      <w:rPr>
        <w:rFonts w:hint="default" w:ascii="Times New Roman" w:hAnsi="Times New Roman" w:eastAsia="宋体"/>
      </w:rPr>
    </w:lvl>
    <w:lvl w:ilvl="1" w:tentative="0">
      <w:start w:val="1"/>
      <w:numFmt w:val="decimal"/>
      <w:lvlText w:val="%1.%2"/>
      <w:lvlJc w:val="left"/>
      <w:pPr>
        <w:tabs>
          <w:tab w:val="left" w:pos="576"/>
        </w:tabs>
        <w:ind w:left="576" w:hanging="576"/>
      </w:pPr>
      <w:rPr>
        <w:rFonts w:hint="default" w:ascii="Times New Roman" w:hAnsi="Times New Roman" w:eastAsia="宋体"/>
      </w:rPr>
    </w:lvl>
    <w:lvl w:ilvl="2" w:tentative="0">
      <w:start w:val="1"/>
      <w:numFmt w:val="decimal"/>
      <w:lvlText w:val="%1.%2.%3"/>
      <w:lvlJc w:val="left"/>
      <w:pPr>
        <w:tabs>
          <w:tab w:val="left" w:pos="720"/>
        </w:tabs>
        <w:ind w:left="720" w:hanging="720"/>
      </w:pPr>
      <w:rPr>
        <w:rFonts w:hint="default" w:ascii="Times New Roman" w:hAnsi="Times New Roman" w:eastAsia="宋体"/>
      </w:rPr>
    </w:lvl>
    <w:lvl w:ilvl="3" w:tentative="0">
      <w:start w:val="1"/>
      <w:numFmt w:val="decimal"/>
      <w:pStyle w:val="21"/>
      <w:lvlText w:val="%1.%2.%3.%4"/>
      <w:lvlJc w:val="left"/>
      <w:pPr>
        <w:tabs>
          <w:tab w:val="left" w:pos="864"/>
        </w:tabs>
        <w:ind w:left="864" w:hanging="864"/>
      </w:pPr>
      <w:rPr>
        <w:rFonts w:hint="default" w:ascii="Times New Roman" w:hAnsi="Times New Roman" w:eastAsia="宋体"/>
      </w:rPr>
    </w:lvl>
    <w:lvl w:ilvl="4" w:tentative="0">
      <w:start w:val="1"/>
      <w:numFmt w:val="decimal"/>
      <w:lvlText w:val="%1.%2.%3.%4.%5"/>
      <w:lvlJc w:val="left"/>
      <w:pPr>
        <w:tabs>
          <w:tab w:val="left" w:pos="1008"/>
        </w:tabs>
        <w:ind w:left="1008" w:hanging="1008"/>
      </w:pPr>
      <w:rPr>
        <w:rFonts w:hint="default" w:ascii="Times New Roman" w:hAnsi="Times New Roman" w:eastAsia="宋体"/>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0D36E5C0"/>
    <w:multiLevelType w:val="singleLevel"/>
    <w:tmpl w:val="0D36E5C0"/>
    <w:lvl w:ilvl="0" w:tentative="0">
      <w:start w:val="2"/>
      <w:numFmt w:val="decimal"/>
      <w:suff w:val="space"/>
      <w:lvlText w:val="%1."/>
      <w:lvlJc w:val="left"/>
    </w:lvl>
  </w:abstractNum>
  <w:abstractNum w:abstractNumId="3">
    <w:nsid w:val="2B5DAAFE"/>
    <w:multiLevelType w:val="multilevel"/>
    <w:tmpl w:val="2B5DAAFE"/>
    <w:lvl w:ilvl="0" w:tentative="0">
      <w:start w:val="2"/>
      <w:numFmt w:val="decimal"/>
      <w:suff w:val="space"/>
      <w:lvlText w:val="%1."/>
      <w:lvlJc w:val="left"/>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4">
    <w:nsid w:val="332628C4"/>
    <w:multiLevelType w:val="singleLevel"/>
    <w:tmpl w:val="332628C4"/>
    <w:lvl w:ilvl="0" w:tentative="0">
      <w:start w:val="3"/>
      <w:numFmt w:val="decimal"/>
      <w:suff w:val="space"/>
      <w:lvlText w:val="%1."/>
      <w:lvlJc w:val="left"/>
    </w:lvl>
  </w:abstractNum>
  <w:abstractNum w:abstractNumId="5">
    <w:nsid w:val="36C42D9A"/>
    <w:multiLevelType w:val="multilevel"/>
    <w:tmpl w:val="36C42D9A"/>
    <w:lvl w:ilvl="0" w:tentative="0">
      <w:start w:val="1"/>
      <w:numFmt w:val="decimal"/>
      <w:lvlText w:val="%1."/>
      <w:lvlJc w:val="left"/>
      <w:pPr>
        <w:tabs>
          <w:tab w:val="left" w:pos="425"/>
        </w:tabs>
        <w:ind w:left="425" w:hanging="425"/>
      </w:pPr>
      <w:rPr>
        <w:rFonts w:hint="default" w:ascii="Times New Roman" w:hAnsi="Times New Roman" w:eastAsia="黑体"/>
        <w:b/>
        <w:i w:val="0"/>
        <w:sz w:val="36"/>
      </w:rPr>
    </w:lvl>
    <w:lvl w:ilvl="1" w:tentative="0">
      <w:start w:val="1"/>
      <w:numFmt w:val="decimal"/>
      <w:lvlText w:val="%1.%2."/>
      <w:lvlJc w:val="left"/>
      <w:pPr>
        <w:tabs>
          <w:tab w:val="left" w:pos="567"/>
        </w:tabs>
        <w:ind w:left="567" w:hanging="567"/>
      </w:pPr>
      <w:rPr>
        <w:rFonts w:hint="default" w:ascii="Times New Roman" w:hAnsi="Times New Roman" w:eastAsia="黑体"/>
        <w:b/>
        <w:i w:val="0"/>
        <w:sz w:val="30"/>
      </w:rPr>
    </w:lvl>
    <w:lvl w:ilvl="2" w:tentative="0">
      <w:start w:val="1"/>
      <w:numFmt w:val="decimal"/>
      <w:lvlText w:val="%1.%2.%3."/>
      <w:lvlJc w:val="left"/>
      <w:pPr>
        <w:tabs>
          <w:tab w:val="left" w:pos="1135"/>
        </w:tabs>
        <w:ind w:left="1135" w:hanging="709"/>
      </w:pPr>
      <w:rPr>
        <w:rFonts w:hint="eastAsia"/>
      </w:rPr>
    </w:lvl>
    <w:lvl w:ilvl="3" w:tentative="0">
      <w:start w:val="1"/>
      <w:numFmt w:val="decimal"/>
      <w:pStyle w:val="3"/>
      <w:isLgl/>
      <w:lvlText w:val="%1.%2.%3.%4."/>
      <w:lvlJc w:val="left"/>
      <w:pPr>
        <w:tabs>
          <w:tab w:val="left" w:pos="851"/>
        </w:tabs>
        <w:ind w:left="851" w:hanging="851"/>
      </w:pPr>
      <w:rPr>
        <w:rFonts w:hint="default" w:ascii="Times New Roman" w:hAnsi="Times New Roman" w:eastAsia="宋体"/>
        <w:b/>
        <w:i w:val="0"/>
        <w:sz w:val="28"/>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num w:numId="1">
    <w:abstractNumId w:val="5"/>
  </w:num>
  <w:num w:numId="2">
    <w:abstractNumId w:val="1"/>
  </w:num>
  <w:num w:numId="3">
    <w:abstractNumId w:val="0"/>
  </w:num>
  <w:num w:numId="4">
    <w:abstractNumId w:val="3"/>
  </w:num>
  <w:num w:numId="5">
    <w:abstractNumId w:val="2"/>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C002AAE"/>
    <w:rsid w:val="00387464"/>
    <w:rsid w:val="00E121B8"/>
    <w:rsid w:val="023B2D6B"/>
    <w:rsid w:val="025334C0"/>
    <w:rsid w:val="02AF65DD"/>
    <w:rsid w:val="02D52EEC"/>
    <w:rsid w:val="03C856E3"/>
    <w:rsid w:val="05F20E85"/>
    <w:rsid w:val="07590D47"/>
    <w:rsid w:val="078717E6"/>
    <w:rsid w:val="07893F2F"/>
    <w:rsid w:val="080D77A6"/>
    <w:rsid w:val="0869252E"/>
    <w:rsid w:val="08ED64C0"/>
    <w:rsid w:val="09670F8F"/>
    <w:rsid w:val="09F37596"/>
    <w:rsid w:val="0A572FFF"/>
    <w:rsid w:val="0A8C62C6"/>
    <w:rsid w:val="0B3B2BEA"/>
    <w:rsid w:val="0C160487"/>
    <w:rsid w:val="0E4D20ED"/>
    <w:rsid w:val="0EB4052B"/>
    <w:rsid w:val="0FD24C86"/>
    <w:rsid w:val="0FE764A2"/>
    <w:rsid w:val="10D05B8E"/>
    <w:rsid w:val="10D32584"/>
    <w:rsid w:val="11512479"/>
    <w:rsid w:val="14255D8B"/>
    <w:rsid w:val="14341880"/>
    <w:rsid w:val="146C6B5B"/>
    <w:rsid w:val="15206937"/>
    <w:rsid w:val="159A2FBF"/>
    <w:rsid w:val="169F3E33"/>
    <w:rsid w:val="171844F3"/>
    <w:rsid w:val="171A6EB7"/>
    <w:rsid w:val="17C0724D"/>
    <w:rsid w:val="1AF5110C"/>
    <w:rsid w:val="1BC53A10"/>
    <w:rsid w:val="1BFD725B"/>
    <w:rsid w:val="1EB030C7"/>
    <w:rsid w:val="1F675912"/>
    <w:rsid w:val="211E230B"/>
    <w:rsid w:val="27295005"/>
    <w:rsid w:val="27353C3D"/>
    <w:rsid w:val="28C52760"/>
    <w:rsid w:val="29304700"/>
    <w:rsid w:val="2A90063A"/>
    <w:rsid w:val="2B312BCE"/>
    <w:rsid w:val="2B8C2CC8"/>
    <w:rsid w:val="2C002AAE"/>
    <w:rsid w:val="2C873FA5"/>
    <w:rsid w:val="2D732090"/>
    <w:rsid w:val="2EB64077"/>
    <w:rsid w:val="2F8C0000"/>
    <w:rsid w:val="2FE87786"/>
    <w:rsid w:val="31D446A1"/>
    <w:rsid w:val="329F3E18"/>
    <w:rsid w:val="32A8327B"/>
    <w:rsid w:val="33157094"/>
    <w:rsid w:val="33442B94"/>
    <w:rsid w:val="33990D9C"/>
    <w:rsid w:val="33BE6305"/>
    <w:rsid w:val="35945EAC"/>
    <w:rsid w:val="35A47F48"/>
    <w:rsid w:val="35C80E2B"/>
    <w:rsid w:val="36060D93"/>
    <w:rsid w:val="360B0315"/>
    <w:rsid w:val="37586A34"/>
    <w:rsid w:val="3809111B"/>
    <w:rsid w:val="38201A42"/>
    <w:rsid w:val="38C7757E"/>
    <w:rsid w:val="39752358"/>
    <w:rsid w:val="3A7D580C"/>
    <w:rsid w:val="3A811726"/>
    <w:rsid w:val="3AD74DC5"/>
    <w:rsid w:val="3B7007FB"/>
    <w:rsid w:val="3B752D4C"/>
    <w:rsid w:val="3C696DB5"/>
    <w:rsid w:val="3C794CF8"/>
    <w:rsid w:val="3D0C6BB9"/>
    <w:rsid w:val="3DB755CD"/>
    <w:rsid w:val="3ED908AA"/>
    <w:rsid w:val="3F425195"/>
    <w:rsid w:val="405021A4"/>
    <w:rsid w:val="41741C21"/>
    <w:rsid w:val="41BF676C"/>
    <w:rsid w:val="4254125A"/>
    <w:rsid w:val="442C75FC"/>
    <w:rsid w:val="4450723B"/>
    <w:rsid w:val="453D114D"/>
    <w:rsid w:val="4596141D"/>
    <w:rsid w:val="46891674"/>
    <w:rsid w:val="468A0B4E"/>
    <w:rsid w:val="46CC4364"/>
    <w:rsid w:val="47670B87"/>
    <w:rsid w:val="47B032E4"/>
    <w:rsid w:val="48736BA1"/>
    <w:rsid w:val="495E5502"/>
    <w:rsid w:val="497905DC"/>
    <w:rsid w:val="4A343869"/>
    <w:rsid w:val="4A5D250E"/>
    <w:rsid w:val="4E563093"/>
    <w:rsid w:val="4E9B31A0"/>
    <w:rsid w:val="4F402D9D"/>
    <w:rsid w:val="504311B9"/>
    <w:rsid w:val="508D52BB"/>
    <w:rsid w:val="53AE3814"/>
    <w:rsid w:val="5407085B"/>
    <w:rsid w:val="552F31DB"/>
    <w:rsid w:val="5702293B"/>
    <w:rsid w:val="57D5384B"/>
    <w:rsid w:val="58352EA3"/>
    <w:rsid w:val="58667005"/>
    <w:rsid w:val="5A8C061D"/>
    <w:rsid w:val="5B6B1F7B"/>
    <w:rsid w:val="5BB56E14"/>
    <w:rsid w:val="5F4C5CE4"/>
    <w:rsid w:val="604E2AC8"/>
    <w:rsid w:val="63071B9D"/>
    <w:rsid w:val="66503726"/>
    <w:rsid w:val="66665D3B"/>
    <w:rsid w:val="670C0302"/>
    <w:rsid w:val="670F4191"/>
    <w:rsid w:val="672F63D1"/>
    <w:rsid w:val="67816318"/>
    <w:rsid w:val="6828423E"/>
    <w:rsid w:val="68D87F2C"/>
    <w:rsid w:val="69057612"/>
    <w:rsid w:val="694866C0"/>
    <w:rsid w:val="698D2DE5"/>
    <w:rsid w:val="6A830C35"/>
    <w:rsid w:val="6A97354F"/>
    <w:rsid w:val="6A9D5DF2"/>
    <w:rsid w:val="6ACC0D58"/>
    <w:rsid w:val="6B84721B"/>
    <w:rsid w:val="6C2F2269"/>
    <w:rsid w:val="6CD902C1"/>
    <w:rsid w:val="6F2F4B24"/>
    <w:rsid w:val="6F863A85"/>
    <w:rsid w:val="6FCB090F"/>
    <w:rsid w:val="70B43E61"/>
    <w:rsid w:val="71190F4D"/>
    <w:rsid w:val="711D0585"/>
    <w:rsid w:val="71814EAA"/>
    <w:rsid w:val="72FE73E9"/>
    <w:rsid w:val="7305217D"/>
    <w:rsid w:val="73DD4C65"/>
    <w:rsid w:val="751B17A2"/>
    <w:rsid w:val="761500BA"/>
    <w:rsid w:val="762B0695"/>
    <w:rsid w:val="76773435"/>
    <w:rsid w:val="76D13D4E"/>
    <w:rsid w:val="77FC5F64"/>
    <w:rsid w:val="793E3E96"/>
    <w:rsid w:val="7A646F29"/>
    <w:rsid w:val="7A840B30"/>
    <w:rsid w:val="7AD75E97"/>
    <w:rsid w:val="7B943684"/>
    <w:rsid w:val="7BB2372F"/>
    <w:rsid w:val="7D53311F"/>
    <w:rsid w:val="7DDB299C"/>
    <w:rsid w:val="7E6E39D9"/>
    <w:rsid w:val="7F1F5BC8"/>
    <w:rsid w:val="7FF613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24"/>
      <w:szCs w:val="24"/>
      <w:lang w:val="en-US" w:eastAsia="zh-CN" w:bidi="ar"/>
    </w:rPr>
  </w:style>
  <w:style w:type="paragraph" w:styleId="3">
    <w:name w:val="heading 4"/>
    <w:basedOn w:val="1"/>
    <w:next w:val="1"/>
    <w:qFormat/>
    <w:uiPriority w:val="0"/>
    <w:pPr>
      <w:keepNext/>
      <w:keepLines/>
      <w:numPr>
        <w:ilvl w:val="3"/>
        <w:numId w:val="1"/>
      </w:numPr>
      <w:spacing w:after="156" w:afterLines="50" w:line="360" w:lineRule="auto"/>
      <w:outlineLvl w:val="3"/>
    </w:pPr>
    <w:rPr>
      <w:rFonts w:ascii="Times New Roman" w:hAnsi="Times New Roman"/>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spacing w:line="360" w:lineRule="auto"/>
      <w:ind w:firstLine="480" w:firstLineChars="200"/>
    </w:pPr>
    <w:rPr>
      <w:rFonts w:ascii="Times New Roman" w:hAnsi="宋体"/>
      <w:sz w:val="24"/>
      <w:szCs w:val="24"/>
    </w:rPr>
  </w:style>
  <w:style w:type="paragraph" w:styleId="5">
    <w:name w:val="header"/>
    <w:basedOn w:val="1"/>
    <w:unhideWhenUsed/>
    <w:qFormat/>
    <w:uiPriority w:val="99"/>
    <w:pPr>
      <w:pBdr>
        <w:bottom w:val="single" w:color="auto" w:sz="6" w:space="1"/>
      </w:pBdr>
      <w:tabs>
        <w:tab w:val="center" w:pos="4153"/>
        <w:tab w:val="right" w:pos="8306"/>
      </w:tabs>
      <w:snapToGrid w:val="0"/>
      <w:jc w:val="center"/>
    </w:pPr>
    <w:rPr>
      <w:kern w:val="0"/>
      <w:sz w:val="18"/>
      <w:szCs w:val="18"/>
    </w:rPr>
  </w:style>
  <w:style w:type="paragraph" w:styleId="6">
    <w:name w:val="annotation text"/>
    <w:basedOn w:val="1"/>
    <w:qFormat/>
    <w:uiPriority w:val="0"/>
    <w:pPr>
      <w:jc w:val="left"/>
    </w:p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styleId="12">
    <w:name w:val="Strong"/>
    <w:basedOn w:val="11"/>
    <w:qFormat/>
    <w:uiPriority w:val="0"/>
    <w:rPr>
      <w:b/>
    </w:rPr>
  </w:style>
  <w:style w:type="character" w:styleId="13">
    <w:name w:val="FollowedHyperlink"/>
    <w:basedOn w:val="11"/>
    <w:qFormat/>
    <w:uiPriority w:val="0"/>
    <w:rPr>
      <w:color w:val="277EFF"/>
      <w:u w:val="none"/>
    </w:rPr>
  </w:style>
  <w:style w:type="character" w:styleId="14">
    <w:name w:val="Emphasis"/>
    <w:basedOn w:val="11"/>
    <w:qFormat/>
    <w:uiPriority w:val="0"/>
  </w:style>
  <w:style w:type="character" w:styleId="15">
    <w:name w:val="HTML Definition"/>
    <w:basedOn w:val="11"/>
    <w:qFormat/>
    <w:uiPriority w:val="0"/>
  </w:style>
  <w:style w:type="character" w:styleId="16">
    <w:name w:val="HTML Acronym"/>
    <w:basedOn w:val="11"/>
    <w:qFormat/>
    <w:uiPriority w:val="0"/>
  </w:style>
  <w:style w:type="character" w:styleId="17">
    <w:name w:val="HTML Variable"/>
    <w:basedOn w:val="11"/>
    <w:qFormat/>
    <w:uiPriority w:val="0"/>
  </w:style>
  <w:style w:type="character" w:styleId="18">
    <w:name w:val="Hyperlink"/>
    <w:basedOn w:val="11"/>
    <w:qFormat/>
    <w:uiPriority w:val="0"/>
    <w:rPr>
      <w:color w:val="277EFF"/>
      <w:u w:val="none"/>
    </w:rPr>
  </w:style>
  <w:style w:type="character" w:styleId="19">
    <w:name w:val="HTML Code"/>
    <w:basedOn w:val="11"/>
    <w:qFormat/>
    <w:uiPriority w:val="0"/>
    <w:rPr>
      <w:rFonts w:ascii="Courier New" w:hAnsi="Courier New"/>
      <w:sz w:val="20"/>
    </w:rPr>
  </w:style>
  <w:style w:type="character" w:styleId="20">
    <w:name w:val="HTML Cite"/>
    <w:basedOn w:val="11"/>
    <w:qFormat/>
    <w:uiPriority w:val="0"/>
  </w:style>
  <w:style w:type="paragraph" w:customStyle="1" w:styleId="21">
    <w:name w:val="标题_自定义_4"/>
    <w:basedOn w:val="3"/>
    <w:qFormat/>
    <w:uiPriority w:val="0"/>
    <w:pPr>
      <w:numPr>
        <w:ilvl w:val="3"/>
        <w:numId w:val="2"/>
      </w:numPr>
      <w:spacing w:line="372" w:lineRule="auto"/>
    </w:pPr>
    <w:rPr>
      <w:rFonts w:ascii="Times New Roman" w:hAnsi="Cambria" w:eastAsia="宋体" w:cs="Times New Roman"/>
      <w:sz w:val="24"/>
      <w:szCs w:val="24"/>
    </w:rPr>
  </w:style>
  <w:style w:type="character" w:customStyle="1" w:styleId="22">
    <w:name w:val="concat-text"/>
    <w:basedOn w:val="11"/>
    <w:qFormat/>
    <w:uiPriority w:val="0"/>
  </w:style>
  <w:style w:type="character" w:customStyle="1" w:styleId="23">
    <w:name w:val="hover7"/>
    <w:basedOn w:val="11"/>
    <w:qFormat/>
    <w:uiPriority w:val="0"/>
    <w:rPr>
      <w:color w:val="004098"/>
      <w:bdr w:val="single" w:color="004098" w:sz="4" w:space="0"/>
    </w:rPr>
  </w:style>
  <w:style w:type="character" w:customStyle="1" w:styleId="24">
    <w:name w:val="hover8"/>
    <w:basedOn w:val="11"/>
    <w:qFormat/>
    <w:uiPriority w:val="0"/>
    <w:rPr>
      <w:color w:val="FFFFFF"/>
      <w:shd w:val="clear" w:fill="004098"/>
    </w:rPr>
  </w:style>
  <w:style w:type="character" w:customStyle="1" w:styleId="25">
    <w:name w:val="hover9"/>
    <w:basedOn w:val="11"/>
    <w:qFormat/>
    <w:uiPriority w:val="0"/>
    <w:rPr>
      <w:color w:val="FFFFFF"/>
    </w:rPr>
  </w:style>
  <w:style w:type="character" w:customStyle="1" w:styleId="26">
    <w:name w:val="hover10"/>
    <w:basedOn w:val="11"/>
    <w:qFormat/>
    <w:uiPriority w:val="0"/>
    <w:rPr>
      <w:color w:val="FFFFFF"/>
      <w:shd w:val="clear" w:fill="6495ED"/>
    </w:rPr>
  </w:style>
  <w:style w:type="character" w:customStyle="1" w:styleId="27">
    <w:name w:val="advice"/>
    <w:basedOn w:val="11"/>
    <w:qFormat/>
    <w:uiPriority w:val="0"/>
    <w:rPr>
      <w:color w:val="004098"/>
      <w:bdr w:val="single" w:color="004098" w:sz="4" w:space="0"/>
    </w:rPr>
  </w:style>
  <w:style w:type="character" w:customStyle="1" w:styleId="28">
    <w:name w:val="last-child"/>
    <w:basedOn w:val="11"/>
    <w:qFormat/>
    <w:uiPriority w:val="0"/>
  </w:style>
  <w:style w:type="character" w:customStyle="1" w:styleId="29">
    <w:name w:val="on1"/>
    <w:basedOn w:val="11"/>
    <w:qFormat/>
    <w:uiPriority w:val="0"/>
    <w:rPr>
      <w:color w:val="FFFFFF"/>
      <w:shd w:val="clear" w:fill="004098"/>
    </w:rPr>
  </w:style>
  <w:style w:type="character" w:customStyle="1" w:styleId="30">
    <w:name w:val="on2"/>
    <w:basedOn w:val="11"/>
    <w:qFormat/>
    <w:uiPriority w:val="0"/>
    <w:rPr>
      <w:color w:val="004098"/>
      <w:bdr w:val="single" w:color="004098" w:sz="4" w:space="0"/>
    </w:rPr>
  </w:style>
  <w:style w:type="character" w:customStyle="1" w:styleId="31">
    <w:name w:val="active"/>
    <w:basedOn w:val="11"/>
    <w:qFormat/>
    <w:uiPriority w:val="0"/>
    <w:rPr>
      <w:color w:val="FFFFFF"/>
      <w:shd w:val="clear" w:fill="004098"/>
    </w:rPr>
  </w:style>
  <w:style w:type="character" w:customStyle="1" w:styleId="32">
    <w:name w:val="statuspurchase"/>
    <w:basedOn w:val="11"/>
    <w:qFormat/>
    <w:uiPriority w:val="0"/>
    <w:rPr>
      <w:vanish/>
      <w:color w:val="004098"/>
      <w:sz w:val="14"/>
      <w:szCs w:val="14"/>
      <w:bdr w:val="single" w:color="004098" w:sz="4" w:space="0"/>
    </w:rPr>
  </w:style>
  <w:style w:type="character" w:customStyle="1" w:styleId="33">
    <w:name w:val="concat-title"/>
    <w:basedOn w:val="11"/>
    <w:qFormat/>
    <w:uiPriority w:val="0"/>
    <w:rPr>
      <w:color w:val="666666"/>
      <w:sz w:val="16"/>
      <w:szCs w:val="16"/>
    </w:rPr>
  </w:style>
  <w:style w:type="character" w:customStyle="1" w:styleId="34">
    <w:name w:val="nth-child(1)"/>
    <w:basedOn w:val="11"/>
    <w:qFormat/>
    <w:uiPriority w:val="0"/>
  </w:style>
  <w:style w:type="character" w:customStyle="1" w:styleId="35">
    <w:name w:val="nth-child(2)"/>
    <w:basedOn w:val="11"/>
    <w:qFormat/>
    <w:uiPriority w:val="0"/>
  </w:style>
  <w:style w:type="character" w:customStyle="1" w:styleId="36">
    <w:name w:val="nth-child(2)1"/>
    <w:basedOn w:val="11"/>
    <w:qFormat/>
    <w:uiPriority w:val="0"/>
  </w:style>
  <w:style w:type="character" w:customStyle="1" w:styleId="37">
    <w:name w:val="hover"/>
    <w:basedOn w:val="11"/>
    <w:qFormat/>
    <w:uiPriority w:val="0"/>
    <w:rPr>
      <w:color w:val="004098"/>
      <w:bdr w:val="single" w:color="004098" w:sz="4" w:space="0"/>
    </w:rPr>
  </w:style>
  <w:style w:type="character" w:customStyle="1" w:styleId="38">
    <w:name w:val="hover1"/>
    <w:basedOn w:val="11"/>
    <w:qFormat/>
    <w:uiPriority w:val="0"/>
    <w:rPr>
      <w:color w:val="FFFFFF"/>
      <w:shd w:val="clear" w:fill="004098"/>
    </w:rPr>
  </w:style>
  <w:style w:type="character" w:customStyle="1" w:styleId="39">
    <w:name w:val="hover2"/>
    <w:basedOn w:val="11"/>
    <w:qFormat/>
    <w:uiPriority w:val="0"/>
    <w:rPr>
      <w:color w:val="FFFFFF"/>
    </w:rPr>
  </w:style>
  <w:style w:type="character" w:customStyle="1" w:styleId="40">
    <w:name w:val="hover3"/>
    <w:basedOn w:val="11"/>
    <w:qFormat/>
    <w:uiPriority w:val="0"/>
    <w:rPr>
      <w:color w:val="FFFFFF"/>
      <w:shd w:val="clear" w:fill="6495ED"/>
    </w:rPr>
  </w:style>
  <w:style w:type="character" w:customStyle="1" w:styleId="41">
    <w:name w:val="on"/>
    <w:basedOn w:val="11"/>
    <w:qFormat/>
    <w:uiPriority w:val="0"/>
    <w:rPr>
      <w:color w:val="FFFFFF"/>
      <w:shd w:val="clear" w:fill="004098"/>
    </w:rPr>
  </w:style>
  <w:style w:type="paragraph" w:customStyle="1" w:styleId="42">
    <w:name w:val="正文样式my + 首行缩进:  0.74 厘米"/>
    <w:basedOn w:val="43"/>
    <w:qFormat/>
    <w:uiPriority w:val="0"/>
    <w:pPr>
      <w:ind w:firstLine="420"/>
    </w:pPr>
    <w:rPr>
      <w:rFonts w:cs="宋体"/>
      <w:szCs w:val="20"/>
    </w:rPr>
  </w:style>
  <w:style w:type="paragraph" w:customStyle="1" w:styleId="43">
    <w:name w:val="正文样式1"/>
    <w:basedOn w:val="1"/>
    <w:qFormat/>
    <w:uiPriority w:val="0"/>
    <w:pPr>
      <w:spacing w:line="360" w:lineRule="auto"/>
      <w:ind w:firstLine="480"/>
    </w:pPr>
    <w:rPr>
      <w:rFonts w:ascii="宋体" w:hAnsi="宋体"/>
      <w:sz w:val="24"/>
      <w:szCs w:val="24"/>
    </w:rPr>
  </w:style>
  <w:style w:type="paragraph" w:customStyle="1" w:styleId="44">
    <w:name w:val="我的正文0"/>
    <w:basedOn w:val="1"/>
    <w:qFormat/>
    <w:uiPriority w:val="0"/>
    <w:pPr>
      <w:spacing w:line="360" w:lineRule="auto"/>
      <w:ind w:firstLine="420"/>
    </w:pPr>
    <w:rPr>
      <w:rFonts w:ascii="宋体" w:hAnsi="宋体" w:eastAsia="宋体"/>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2335</Words>
  <Characters>2553</Characters>
  <Lines>0</Lines>
  <Paragraphs>0</Paragraphs>
  <TotalTime>16</TotalTime>
  <ScaleCrop>false</ScaleCrop>
  <LinksUpToDate>false</LinksUpToDate>
  <CharactersWithSpaces>2581</CharactersWithSpaces>
  <Application>WPS Office_11.8.2.12094_F1E327BC-269C-435d-A152-05C5408002CA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2025-09-18T07:40:00Z</dcterms:created>
  <dc:creator>WPS_1739925737</dc:creator>
  <cp:lastModifiedBy>总行工会文档管理员</cp:lastModifiedBy>
  <cp:lastPrinted>2026-06-08T07:59:00Z</cp:lastPrinted>
  <dcterms:modified xsi:type="dcterms:W3CDTF">2026-06-12T07:43:01Z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4BD2478AEB1D40328B435B8E0D3C32D6</vt:lpwstr>
  </property>
  <property fmtid="{D5CDD505-2E9C-101B-9397-08002B2CF9AE}" pid="4" name="KSOTemplateDocerSaveRecord">
    <vt:lpwstr>eyJoZGlkIjoiMjFmYzk5ZTZmYjBkNzhlOWJiYjgzYWZhMDMwZDdjZGUiLCJ1c2VySWQiOiI2OTQyNjQ5MDUifQ==</vt:lpwstr>
  </property>
</Properties>
</file>