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kern w:val="0"/>
          <w:sz w:val="32"/>
          <w:szCs w:val="32"/>
          <w:lang w:val="en-US" w:eastAsia="zh-CN" w:bidi="ar"/>
        </w:rPr>
      </w:pPr>
      <w:r>
        <w:rPr>
          <w:rFonts w:hint="eastAsia" w:ascii="宋体" w:hAnsi="宋体" w:eastAsia="宋体" w:cs="宋体"/>
          <w:b/>
          <w:bCs/>
          <w:kern w:val="0"/>
          <w:sz w:val="32"/>
          <w:szCs w:val="32"/>
          <w:lang w:val="en-US" w:eastAsia="zh-CN" w:bidi="ar"/>
        </w:rPr>
        <w:t>厦门国际银行附属机构集友银行对公风险预警平台项目</w:t>
      </w:r>
    </w:p>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sz w:val="32"/>
          <w:szCs w:val="32"/>
        </w:rPr>
      </w:pPr>
      <w:r>
        <w:rPr>
          <w:rFonts w:hint="eastAsia" w:ascii="宋体" w:hAnsi="宋体" w:eastAsia="宋体" w:cs="宋体"/>
          <w:b/>
          <w:bCs/>
          <w:kern w:val="0"/>
          <w:sz w:val="32"/>
          <w:szCs w:val="32"/>
          <w:lang w:val="en-US" w:eastAsia="zh-CN" w:bidi="ar"/>
        </w:rPr>
        <w:t>供应商征集公告</w:t>
      </w:r>
    </w:p>
    <w:p>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征集人厦门国际银行股份有限公司根据附属机构集友银行（下称“集友”）工作需要，拟开展集友对公风险预警平台项目供应商征集，有关事宜公告如下：</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pPr>
        <w:keepNext w:val="0"/>
        <w:keepLines w:val="0"/>
        <w:widowControl/>
        <w:numPr>
          <w:ilvl w:val="0"/>
          <w:numId w:val="0"/>
        </w:numPr>
        <w:suppressLineNumbers w:val="0"/>
        <w:spacing w:before="0" w:beforeAutospacing="0" w:after="0" w:afterAutospacing="0" w:line="440" w:lineRule="exact"/>
        <w:ind w:right="0" w:rightChars="0" w:firstLine="420" w:firstLineChars="0"/>
        <w:jc w:val="left"/>
        <w:rPr>
          <w:rFonts w:hint="eastAsia" w:ascii="宋体" w:hAnsi="宋体" w:eastAsia="宋体" w:cs="宋体"/>
          <w:b/>
          <w:bCs/>
          <w:kern w:val="2"/>
          <w:sz w:val="24"/>
          <w:szCs w:val="24"/>
          <w:highlight w:val="none"/>
          <w:lang w:val="en-US" w:eastAsia="zh-CN" w:bidi="ar"/>
        </w:rPr>
      </w:pPr>
      <w:r>
        <w:rPr>
          <w:rFonts w:hint="eastAsia" w:ascii="宋体" w:hAnsi="宋体" w:eastAsia="宋体" w:cs="宋体"/>
          <w:b/>
          <w:bCs/>
          <w:kern w:val="2"/>
          <w:sz w:val="24"/>
          <w:szCs w:val="24"/>
          <w:highlight w:val="none"/>
          <w:lang w:val="en-US" w:eastAsia="zh-CN" w:bidi="ar"/>
        </w:rPr>
        <w:t>1. 采购需求：</w:t>
      </w:r>
    </w:p>
    <w:p>
      <w:pPr>
        <w:pStyle w:val="43"/>
        <w:ind w:firstLine="480" w:firstLineChars="200"/>
        <w:rPr>
          <w:rFonts w:hint="eastAsia"/>
        </w:rPr>
      </w:pPr>
      <w:r>
        <w:rPr>
          <w:rFonts w:hint="eastAsia" w:ascii="Times New Roman" w:cstheme="minorBidi"/>
          <w:kern w:val="2"/>
          <w:sz w:val="24"/>
          <w:szCs w:val="24"/>
          <w:highlight w:val="none"/>
          <w:lang w:val="en-US" w:eastAsia="zh-CN" w:bidi="ar-SA"/>
        </w:rPr>
        <w:t>该</w:t>
      </w:r>
      <w:r>
        <w:rPr>
          <w:rFonts w:hint="eastAsia" w:ascii="Times New Roman" w:hAnsi="宋体" w:eastAsiaTheme="minorEastAsia" w:cstheme="minorBidi"/>
          <w:kern w:val="2"/>
          <w:sz w:val="24"/>
          <w:szCs w:val="24"/>
          <w:highlight w:val="none"/>
          <w:lang w:val="en-US" w:eastAsia="zh-CN" w:bidi="ar-SA"/>
        </w:rPr>
        <w:t>项目</w:t>
      </w:r>
      <w:r>
        <w:rPr>
          <w:rFonts w:hint="eastAsia" w:ascii="Times New Roman" w:cstheme="minorBidi"/>
          <w:kern w:val="2"/>
          <w:sz w:val="24"/>
          <w:szCs w:val="24"/>
          <w:highlight w:val="none"/>
          <w:lang w:val="en-US" w:eastAsia="zh-CN" w:bidi="ar-SA"/>
        </w:rPr>
        <w:t>旨在</w:t>
      </w:r>
      <w:r>
        <w:rPr>
          <w:rFonts w:hint="eastAsia" w:ascii="Times New Roman" w:hAnsi="宋体" w:eastAsiaTheme="minorEastAsia" w:cstheme="minorBidi"/>
          <w:kern w:val="2"/>
          <w:sz w:val="24"/>
          <w:szCs w:val="24"/>
          <w:highlight w:val="none"/>
          <w:lang w:val="en-US" w:eastAsia="zh-CN" w:bidi="ar-SA"/>
        </w:rPr>
        <w:t>根据项目建设范围</w:t>
      </w:r>
      <w:r>
        <w:rPr>
          <w:rFonts w:hint="eastAsia" w:ascii="Times New Roman" w:hAnsi="宋体" w:cstheme="minorBidi"/>
          <w:kern w:val="2"/>
          <w:sz w:val="24"/>
          <w:szCs w:val="24"/>
          <w:highlight w:val="none"/>
          <w:lang w:val="en-US" w:eastAsia="zh-CN" w:bidi="ar-SA"/>
        </w:rPr>
        <w:t>完成</w:t>
      </w:r>
      <w:r>
        <w:rPr>
          <w:rFonts w:hint="eastAsia" w:cstheme="minorBidi"/>
          <w:kern w:val="2"/>
          <w:sz w:val="24"/>
          <w:szCs w:val="24"/>
          <w:highlight w:val="none"/>
          <w:lang w:val="en-US" w:eastAsia="zh-CN" w:bidi="ar-SA"/>
        </w:rPr>
        <w:t>集友对公风险预警平台</w:t>
      </w:r>
      <w:r>
        <w:rPr>
          <w:rFonts w:hint="eastAsia" w:ascii="Times New Roman" w:hAnsi="宋体" w:cstheme="minorBidi"/>
          <w:kern w:val="2"/>
          <w:sz w:val="24"/>
          <w:szCs w:val="24"/>
          <w:highlight w:val="none"/>
          <w:lang w:val="en-US" w:eastAsia="zh-CN" w:bidi="ar-SA"/>
        </w:rPr>
        <w:t>建设</w:t>
      </w:r>
      <w:r>
        <w:rPr>
          <w:rFonts w:hint="eastAsia"/>
        </w:rPr>
        <w:t>，并在</w:t>
      </w:r>
      <w:r>
        <w:rPr>
          <w:rFonts w:hint="eastAsia" w:ascii="宋体" w:hAnsi="宋体" w:eastAsia="宋体" w:cs="宋体"/>
          <w:kern w:val="2"/>
          <w:sz w:val="24"/>
          <w:szCs w:val="24"/>
          <w:lang w:val="en-US" w:eastAsia="zh-CN" w:bidi="ar"/>
        </w:rPr>
        <w:t>厦门国际银行</w:t>
      </w:r>
      <w:r>
        <w:rPr>
          <w:rFonts w:hint="eastAsia"/>
          <w:lang w:val="en-US" w:eastAsia="zh-CN"/>
        </w:rPr>
        <w:t>已有的</w:t>
      </w:r>
      <w:r>
        <w:rPr>
          <w:rFonts w:hint="eastAsia"/>
        </w:rPr>
        <w:t>大数据应用平台上新增大数据应用平台-</w:t>
      </w:r>
      <w:r>
        <w:rPr>
          <w:rFonts w:hint="eastAsia"/>
          <w:lang w:val="en-US" w:eastAsia="zh-CN"/>
        </w:rPr>
        <w:t>集友</w:t>
      </w:r>
      <w:r>
        <w:rPr>
          <w:rFonts w:hint="eastAsia"/>
        </w:rPr>
        <w:t>天眼数据库模块，新建的集友对公风险预警平台以</w:t>
      </w:r>
      <w:r>
        <w:rPr>
          <w:rFonts w:hint="eastAsia" w:ascii="宋体" w:hAnsi="宋体" w:eastAsia="宋体" w:cs="宋体"/>
          <w:kern w:val="2"/>
          <w:sz w:val="24"/>
          <w:szCs w:val="24"/>
          <w:lang w:val="en-US" w:eastAsia="zh-CN" w:bidi="ar"/>
        </w:rPr>
        <w:t>厦门国际银行</w:t>
      </w:r>
      <w:r>
        <w:rPr>
          <w:rFonts w:hint="eastAsia"/>
        </w:rPr>
        <w:t>风险预警系统（天眼）为基础，基于集友</w:t>
      </w:r>
      <w:r>
        <w:rPr>
          <w:rFonts w:hint="eastAsia"/>
          <w:lang w:val="en-US" w:eastAsia="zh-CN"/>
        </w:rPr>
        <w:t>银行</w:t>
      </w:r>
      <w:r>
        <w:rPr>
          <w:rFonts w:hint="eastAsia"/>
        </w:rPr>
        <w:t>需求进行定制开发</w:t>
      </w:r>
      <w:r>
        <w:rPr>
          <w:rFonts w:hint="eastAsia"/>
          <w:lang w:eastAsia="zh-CN"/>
        </w:rPr>
        <w:t>。</w:t>
      </w:r>
    </w:p>
    <w:p>
      <w:pPr>
        <w:pStyle w:val="5"/>
        <w:rPr>
          <w:szCs w:val="24"/>
        </w:rPr>
      </w:pPr>
      <w:r>
        <w:rPr>
          <w:rFonts w:hint="eastAsia"/>
          <w:iCs/>
        </w:rPr>
        <w:t>功能需求主要基于</w:t>
      </w:r>
      <w:r>
        <w:rPr>
          <w:rFonts w:hint="eastAsia" w:ascii="宋体" w:hAnsi="宋体" w:eastAsia="宋体" w:cs="宋体"/>
          <w:kern w:val="2"/>
          <w:sz w:val="24"/>
          <w:szCs w:val="24"/>
          <w:lang w:val="en-US" w:eastAsia="zh-CN" w:bidi="ar"/>
        </w:rPr>
        <w:t>厦门国际银行</w:t>
      </w:r>
      <w:r>
        <w:rPr>
          <w:rFonts w:hint="eastAsia"/>
          <w:iCs/>
          <w:lang w:val="en-US" w:eastAsia="zh-CN"/>
        </w:rPr>
        <w:t>已有的</w:t>
      </w:r>
      <w:r>
        <w:rPr>
          <w:rFonts w:hint="eastAsia"/>
          <w:iCs/>
        </w:rPr>
        <w:t>风险预警系统（天眼）的系统功能，主要包括：预警工作台、预警业务管理、客户全景风险视图、风险预警效能分析、预警配置管理、智能引擎平台、报表管理、系统管理等，</w:t>
      </w:r>
      <w:r>
        <w:rPr>
          <w:rFonts w:hint="eastAsia"/>
          <w:iCs/>
          <w:lang w:val="en-US" w:eastAsia="zh-CN"/>
        </w:rPr>
        <w:t>大致功能如下</w:t>
      </w:r>
      <w:r>
        <w:rPr>
          <w:rFonts w:hint="eastAsia"/>
          <w:sz w:val="24"/>
          <w:szCs w:val="24"/>
          <w:highlight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lang w:val="en-GB"/>
        </w:rPr>
        <w:t>构</w:t>
      </w:r>
      <w:r>
        <w:rPr>
          <w:rFonts w:hint="eastAsia" w:ascii="宋体" w:hAnsi="宋体"/>
          <w:sz w:val="24"/>
          <w:szCs w:val="24"/>
        </w:rPr>
        <w:t>建天眼数据库：汇总整合集友对公预警平台所需的数据，支持多维度的风险分析及决策工作。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rPr>
        <w:t>搭建智能决策引擎：根据业务规则，生成预警信号。并能够灵活、快速地满足规则配置、规则部署等功能；支持按照通用类和专用类规则配置。</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rPr>
        <w:t>整合客户风险画像：整合客户基本信息、客户风险视图、关系图谱、财务分析、人行征信、全融资视图、外部信息查询等，形成客户全景风险视图。</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rPr>
        <w:t>预警业务处理：建设预警工作台，实现预警信号生成、预警检查任务分派、预警客户分析与检查、预警跟踪管理、预警解除管理等流程，并支持预警信号配置、管控措施参数配置等功能。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rPr>
        <w:t>预警效能分析：监测预警业务处理过程中产生的各类监测信息可用于监测统计分析，为总分行风险管理相关人员提供监测规则转化率分析、风险变化趋势统计、业务清单查询等，也为总行决策分析人员提供数字化支持，形成决策分析的闭环体系。</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lang w:val="en-US" w:eastAsia="zh-CN"/>
        </w:rPr>
        <w:t>名单</w:t>
      </w:r>
      <w:r>
        <w:rPr>
          <w:rFonts w:hint="eastAsia" w:ascii="宋体" w:hAnsi="宋体"/>
          <w:sz w:val="24"/>
          <w:szCs w:val="24"/>
        </w:rPr>
        <w:t>管理</w:t>
      </w:r>
      <w:r>
        <w:rPr>
          <w:rFonts w:hint="eastAsia" w:ascii="宋体" w:hAnsi="宋体"/>
          <w:sz w:val="24"/>
          <w:szCs w:val="24"/>
          <w:lang w:val="en-US" w:eastAsia="zh-CN"/>
        </w:rPr>
        <w:t>功能</w:t>
      </w:r>
      <w:r>
        <w:rPr>
          <w:rFonts w:hint="eastAsia" w:ascii="宋体" w:hAnsi="宋体"/>
          <w:sz w:val="24"/>
          <w:szCs w:val="24"/>
        </w:rPr>
        <w:t>：</w:t>
      </w:r>
      <w:r>
        <w:rPr>
          <w:rFonts w:hint="eastAsia" w:ascii="宋体" w:hAnsi="宋体"/>
          <w:sz w:val="24"/>
          <w:szCs w:val="24"/>
          <w:lang w:val="en-US" w:eastAsia="zh-CN"/>
        </w:rPr>
        <w:t>支持各类名单，如</w:t>
      </w:r>
      <w:r>
        <w:rPr>
          <w:rFonts w:hint="eastAsia" w:ascii="宋体" w:hAnsi="宋体"/>
          <w:sz w:val="24"/>
          <w:szCs w:val="24"/>
        </w:rPr>
        <w:t>预警客户清单、</w:t>
      </w:r>
      <w:r>
        <w:rPr>
          <w:rFonts w:hint="eastAsia" w:ascii="宋体" w:hAnsi="宋体"/>
          <w:sz w:val="24"/>
          <w:szCs w:val="24"/>
          <w:lang w:val="en-US" w:eastAsia="zh-CN"/>
        </w:rPr>
        <w:t>灰名单、白名单</w:t>
      </w:r>
      <w:r>
        <w:rPr>
          <w:rFonts w:hint="eastAsia" w:ascii="宋体" w:hAnsi="宋体"/>
          <w:sz w:val="24"/>
          <w:szCs w:val="24"/>
        </w:rPr>
        <w:t>等</w:t>
      </w:r>
      <w:r>
        <w:rPr>
          <w:rFonts w:hint="eastAsia" w:ascii="宋体" w:hAnsi="宋体"/>
          <w:sz w:val="24"/>
          <w:szCs w:val="24"/>
          <w:lang w:val="en-US" w:eastAsia="zh-CN"/>
        </w:rPr>
        <w:t>导入、</w:t>
      </w:r>
      <w:r>
        <w:rPr>
          <w:rFonts w:hint="eastAsia" w:ascii="宋体" w:hAnsi="宋体"/>
          <w:sz w:val="24"/>
          <w:szCs w:val="24"/>
        </w:rPr>
        <w:t>生成、审核、</w:t>
      </w:r>
      <w:r>
        <w:rPr>
          <w:rFonts w:hint="eastAsia" w:ascii="宋体" w:hAnsi="宋体"/>
          <w:sz w:val="24"/>
          <w:szCs w:val="24"/>
          <w:lang w:val="en-US" w:eastAsia="zh-CN"/>
        </w:rPr>
        <w:t>查询</w:t>
      </w:r>
      <w:r>
        <w:rPr>
          <w:rFonts w:hint="eastAsia" w:ascii="宋体" w:hAnsi="宋体"/>
          <w:sz w:val="24"/>
          <w:szCs w:val="24"/>
        </w:rPr>
        <w:t>、导出功能。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lang w:val="en-US" w:eastAsia="zh-CN"/>
        </w:rPr>
        <w:t>报表</w:t>
      </w:r>
      <w:r>
        <w:rPr>
          <w:rFonts w:hint="eastAsia" w:ascii="宋体" w:hAnsi="宋体"/>
          <w:sz w:val="24"/>
          <w:szCs w:val="24"/>
        </w:rPr>
        <w:t>管理</w:t>
      </w:r>
      <w:r>
        <w:rPr>
          <w:rFonts w:hint="eastAsia" w:ascii="宋体" w:hAnsi="宋体"/>
          <w:sz w:val="24"/>
          <w:szCs w:val="24"/>
          <w:lang w:val="en-US" w:eastAsia="zh-CN"/>
        </w:rPr>
        <w:t>功能</w:t>
      </w:r>
      <w:r>
        <w:rPr>
          <w:rFonts w:hint="eastAsia" w:ascii="宋体" w:hAnsi="宋体"/>
          <w:sz w:val="24"/>
          <w:szCs w:val="24"/>
        </w:rPr>
        <w:t>：</w:t>
      </w:r>
      <w:r>
        <w:rPr>
          <w:rFonts w:hint="eastAsia" w:ascii="宋体" w:hAnsi="宋体"/>
          <w:sz w:val="24"/>
          <w:szCs w:val="24"/>
          <w:lang w:val="en-US" w:eastAsia="zh-CN"/>
        </w:rPr>
        <w:t>支持查询展示系统相关报表，包括但不限于客户风险等级概览表、客户最新风险等级表等。</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lang w:val="en-US" w:eastAsia="zh-CN"/>
        </w:rPr>
        <w:t>授信集中度</w:t>
      </w:r>
      <w:r>
        <w:rPr>
          <w:rFonts w:hint="eastAsia" w:ascii="宋体" w:hAnsi="宋体"/>
          <w:sz w:val="24"/>
          <w:szCs w:val="24"/>
        </w:rPr>
        <w:t>：</w:t>
      </w:r>
      <w:r>
        <w:rPr>
          <w:rFonts w:hint="eastAsia" w:ascii="宋体" w:hAnsi="宋体"/>
          <w:sz w:val="24"/>
          <w:szCs w:val="24"/>
          <w:lang w:val="en-US" w:eastAsia="zh-CN"/>
        </w:rPr>
        <w:t>支持查询、导出客户及所属集团授信信息、贷款信息等</w:t>
      </w:r>
      <w:r>
        <w:rPr>
          <w:rFonts w:hint="eastAsia" w:ascii="宋体" w:hAnsi="宋体"/>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sz w:val="24"/>
          <w:szCs w:val="24"/>
        </w:rPr>
      </w:pPr>
      <w:r>
        <w:rPr>
          <w:rFonts w:hint="eastAsia" w:ascii="宋体" w:hAnsi="宋体"/>
          <w:sz w:val="24"/>
          <w:szCs w:val="24"/>
          <w:lang w:val="en-US" w:eastAsia="zh-CN"/>
        </w:rPr>
        <w:t>潜风名单管理</w:t>
      </w:r>
      <w:r>
        <w:rPr>
          <w:rFonts w:hint="eastAsia" w:ascii="宋体" w:hAnsi="宋体"/>
          <w:sz w:val="24"/>
          <w:szCs w:val="24"/>
        </w:rPr>
        <w:t>：</w:t>
      </w:r>
      <w:r>
        <w:rPr>
          <w:rFonts w:hint="eastAsia" w:ascii="宋体" w:hAnsi="宋体"/>
          <w:sz w:val="24"/>
          <w:szCs w:val="24"/>
          <w:lang w:val="en-US" w:eastAsia="zh-CN"/>
        </w:rPr>
        <w:t>支持用户导入、审核、查询、导出潜在潜在风险客户清单</w:t>
      </w:r>
      <w:r>
        <w:rPr>
          <w:rFonts w:hint="eastAsia" w:ascii="宋体" w:hAnsi="宋体"/>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sz w:val="24"/>
          <w:szCs w:val="24"/>
        </w:rPr>
      </w:pPr>
      <w:r>
        <w:rPr>
          <w:rFonts w:hint="eastAsia" w:ascii="宋体" w:hAnsi="宋体"/>
          <w:sz w:val="24"/>
          <w:szCs w:val="24"/>
          <w:lang w:val="en-US" w:eastAsia="zh-CN"/>
        </w:rPr>
        <w:t>集团预警</w:t>
      </w:r>
      <w:r>
        <w:rPr>
          <w:rFonts w:hint="eastAsia" w:ascii="宋体" w:hAnsi="宋体"/>
          <w:sz w:val="24"/>
          <w:szCs w:val="24"/>
        </w:rPr>
        <w:t>：</w:t>
      </w:r>
      <w:r>
        <w:rPr>
          <w:rFonts w:hint="eastAsia" w:ascii="宋体" w:hAnsi="宋体"/>
          <w:sz w:val="24"/>
          <w:szCs w:val="24"/>
          <w:lang w:val="en-US" w:eastAsia="zh-CN"/>
        </w:rPr>
        <w:t>结合集团并表要求，实现客户风险预警集团传导，将客户风险信息传导给集团及澳门国际银行</w:t>
      </w:r>
      <w:r>
        <w:rPr>
          <w:rFonts w:hint="eastAsia" w:ascii="宋体" w:hAnsi="宋体"/>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宋体" w:hAnsi="宋体"/>
          <w:sz w:val="24"/>
          <w:szCs w:val="24"/>
        </w:rPr>
      </w:pPr>
      <w:r>
        <w:rPr>
          <w:rFonts w:hint="eastAsia" w:ascii="宋体" w:hAnsi="宋体"/>
          <w:sz w:val="24"/>
          <w:szCs w:val="24"/>
        </w:rPr>
        <w:t>系统管理功能：实现机构管理、用户管理、角色权限管理、业务参数管理等系统管理功能。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sz w:val="24"/>
          <w:szCs w:val="24"/>
        </w:rPr>
      </w:pPr>
      <w:r>
        <w:rPr>
          <w:rFonts w:hint="eastAsia" w:ascii="宋体" w:hAnsi="宋体"/>
          <w:sz w:val="24"/>
          <w:szCs w:val="24"/>
        </w:rPr>
        <w:t>系统监测范围：所有存量对公及同业授信业务（包含：额度已生效但未提款及已提款借户及其担保人）</w:t>
      </w:r>
      <w:r>
        <w:rPr>
          <w:rFonts w:hint="eastAsia" w:ascii="宋体" w:hAnsi="宋体"/>
          <w:sz w:val="24"/>
          <w:szCs w:val="24"/>
          <w:lang w:eastAsia="zh-CN"/>
        </w:rPr>
        <w:t>。</w:t>
      </w:r>
    </w:p>
    <w:p>
      <w:pPr>
        <w:keepNext w:val="0"/>
        <w:keepLines w:val="0"/>
        <w:widowControl/>
        <w:suppressLineNumbers w:val="0"/>
        <w:spacing w:before="0" w:beforeAutospacing="0" w:after="0" w:afterAutospacing="0" w:line="440" w:lineRule="exact"/>
        <w:ind w:right="0" w:firstLine="420" w:firstLineChars="0"/>
        <w:jc w:val="left"/>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项目合作以总包形式开展，不允许分包或转包，按照项目目标完成软件研发实施，根据项目各阶段完成情况据实结算。</w:t>
      </w:r>
    </w:p>
    <w:p>
      <w:pPr>
        <w:widowControl/>
        <w:numPr>
          <w:ilvl w:val="0"/>
          <w:numId w:val="0"/>
        </w:numPr>
        <w:bidi w:val="0"/>
        <w:spacing w:line="440" w:lineRule="exact"/>
        <w:ind w:firstLine="420"/>
        <w:jc w:val="left"/>
        <w:rPr>
          <w:rFonts w:hint="eastAsia"/>
          <w:lang w:val="en-US" w:eastAsia="zh-CN"/>
        </w:rPr>
      </w:pPr>
      <w:r>
        <w:rPr>
          <w:rFonts w:hint="eastAsia" w:ascii="宋体" w:hAnsi="宋体" w:eastAsia="宋体" w:cs="宋体"/>
          <w:kern w:val="2"/>
          <w:sz w:val="24"/>
          <w:szCs w:val="24"/>
          <w:highlight w:val="none"/>
          <w:lang w:val="en-US" w:eastAsia="zh-CN" w:bidi="ar"/>
        </w:rPr>
        <w:t>项目工作地点为主要是福建省厦门市，可能涉及出差至香港。</w:t>
      </w:r>
    </w:p>
    <w:p>
      <w:pPr>
        <w:keepNext w:val="0"/>
        <w:keepLines w:val="0"/>
        <w:widowControl/>
        <w:numPr>
          <w:ilvl w:val="-1"/>
          <w:numId w:val="0"/>
        </w:numPr>
        <w:suppressLineNumbers w:val="0"/>
        <w:spacing w:before="0" w:beforeAutospacing="0" w:after="0" w:afterAutospacing="0" w:line="440" w:lineRule="exact"/>
        <w:ind w:right="0" w:firstLine="420" w:firstLineChars="0"/>
        <w:jc w:val="left"/>
        <w:rPr>
          <w:rFonts w:hint="eastAsia" w:ascii="宋体" w:hAnsi="宋体" w:eastAsia="宋体" w:cs="宋体"/>
          <w:b/>
          <w:bCs/>
          <w:kern w:val="2"/>
          <w:sz w:val="24"/>
          <w:szCs w:val="24"/>
          <w:highlight w:val="none"/>
          <w:lang w:val="en-US" w:eastAsia="zh-CN" w:bidi="ar"/>
        </w:rPr>
      </w:pPr>
      <w:r>
        <w:rPr>
          <w:rFonts w:hint="eastAsia" w:ascii="宋体" w:hAnsi="宋体" w:eastAsia="宋体" w:cs="宋体"/>
          <w:b/>
          <w:bCs/>
          <w:sz w:val="24"/>
          <w:highlight w:val="none"/>
          <w:lang w:val="en-US" w:eastAsia="zh-CN" w:bidi="ar"/>
        </w:rPr>
        <w:t xml:space="preserve">2. </w:t>
      </w:r>
      <w:r>
        <w:rPr>
          <w:rFonts w:hint="eastAsia" w:ascii="宋体" w:hAnsi="宋体" w:eastAsia="宋体" w:cs="宋体"/>
          <w:b/>
          <w:bCs/>
          <w:kern w:val="2"/>
          <w:sz w:val="24"/>
          <w:szCs w:val="24"/>
          <w:highlight w:val="none"/>
          <w:lang w:val="en-US" w:eastAsia="zh-CN" w:bidi="ar"/>
        </w:rPr>
        <w:t>技术要求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rPr>
          <w:rFonts w:hint="eastAsia" w:ascii="宋体" w:hAnsi="宋体" w:eastAsia="宋体" w:cs="宋体"/>
          <w:b w:val="0"/>
          <w:bCs w:val="0"/>
          <w:sz w:val="24"/>
          <w:highlight w:val="none"/>
          <w:lang w:bidi="ar"/>
        </w:rPr>
      </w:pPr>
      <w:r>
        <w:rPr>
          <w:rFonts w:hint="eastAsia" w:ascii="宋体" w:hAnsi="宋体" w:eastAsia="宋体" w:cs="宋体"/>
          <w:b w:val="0"/>
          <w:bCs w:val="0"/>
          <w:kern w:val="2"/>
          <w:sz w:val="24"/>
          <w:szCs w:val="24"/>
          <w:highlight w:val="none"/>
          <w:lang w:val="en-US" w:eastAsia="zh-CN" w:bidi="ar"/>
        </w:rPr>
        <w:t>2.1 国产化</w:t>
      </w:r>
      <w:r>
        <w:rPr>
          <w:rFonts w:hint="eastAsia" w:ascii="宋体" w:hAnsi="宋体" w:eastAsia="宋体" w:cs="宋体"/>
          <w:b w:val="0"/>
          <w:bCs w:val="0"/>
          <w:sz w:val="24"/>
          <w:highlight w:val="none"/>
          <w:lang w:bidi="ar"/>
        </w:rPr>
        <w:t>信创</w:t>
      </w:r>
      <w:r>
        <w:rPr>
          <w:rFonts w:hint="eastAsia" w:ascii="宋体" w:hAnsi="宋体" w:eastAsia="宋体" w:cs="宋体"/>
          <w:b w:val="0"/>
          <w:bCs w:val="0"/>
          <w:sz w:val="24"/>
          <w:highlight w:val="none"/>
          <w:lang w:val="en-US" w:eastAsia="zh-CN" w:bidi="ar"/>
        </w:rPr>
        <w:t>要求</w:t>
      </w:r>
      <w:r>
        <w:rPr>
          <w:rFonts w:hint="eastAsia" w:ascii="宋体" w:hAnsi="宋体" w:eastAsia="宋体" w:cs="宋体"/>
          <w:b w:val="0"/>
          <w:bCs w:val="0"/>
          <w:kern w:val="2"/>
          <w:sz w:val="24"/>
          <w:szCs w:val="24"/>
          <w:highlight w:val="none"/>
          <w:lang w:val="en-US" w:eastAsia="zh-CN" w:bidi="ar"/>
        </w:rPr>
        <w:t>：</w:t>
      </w:r>
      <w:r>
        <w:rPr>
          <w:rFonts w:hint="eastAsia" w:ascii="宋体" w:hAnsi="宋体" w:eastAsia="宋体" w:cs="宋体"/>
          <w:b w:val="0"/>
          <w:bCs w:val="0"/>
          <w:sz w:val="24"/>
          <w:highlight w:val="none"/>
          <w:lang w:val="en-US" w:eastAsia="zh-CN" w:bidi="ar"/>
        </w:rPr>
        <w:t>产品需满足在国产化基础设施环境中进行部署实施，包括但不限于服务器、操作系统、数据库、中间件等</w:t>
      </w:r>
      <w:r>
        <w:rPr>
          <w:rFonts w:hint="eastAsia" w:ascii="宋体" w:hAnsi="宋体" w:eastAsia="宋体" w:cs="宋体"/>
          <w:b w:val="0"/>
          <w:bCs w:val="0"/>
          <w:sz w:val="24"/>
          <w:highlight w:val="none"/>
          <w:lang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rPr>
          <w:rFonts w:hint="eastAsia" w:ascii="宋体" w:hAnsi="宋体" w:eastAsia="宋体" w:cs="宋体"/>
          <w:b w:val="0"/>
          <w:bCs w:val="0"/>
          <w:sz w:val="24"/>
          <w:highlight w:val="none"/>
          <w:lang w:bidi="ar"/>
        </w:rPr>
      </w:pPr>
      <w:r>
        <w:rPr>
          <w:rFonts w:hint="eastAsia" w:ascii="宋体" w:hAnsi="宋体" w:eastAsia="宋体" w:cs="宋体"/>
          <w:b w:val="0"/>
          <w:bCs w:val="0"/>
          <w:sz w:val="24"/>
          <w:highlight w:val="none"/>
          <w:lang w:val="en-US" w:eastAsia="zh-CN" w:bidi="ar"/>
        </w:rPr>
        <w:t xml:space="preserve">2.2 </w:t>
      </w:r>
      <w:r>
        <w:rPr>
          <w:rFonts w:hint="eastAsia" w:ascii="宋体" w:hAnsi="宋体" w:eastAsia="宋体" w:cs="宋体"/>
          <w:b w:val="0"/>
          <w:bCs w:val="0"/>
          <w:kern w:val="2"/>
          <w:sz w:val="24"/>
          <w:szCs w:val="24"/>
          <w:highlight w:val="none"/>
          <w:lang w:val="en-US" w:eastAsia="zh-CN" w:bidi="ar"/>
        </w:rPr>
        <w:t>数据管理要求：</w:t>
      </w:r>
      <w:r>
        <w:rPr>
          <w:rFonts w:hint="eastAsia" w:ascii="宋体" w:hAnsi="宋体" w:eastAsia="宋体" w:cs="宋体"/>
          <w:sz w:val="24"/>
          <w:highlight w:val="none"/>
          <w:lang w:bidi="ar"/>
        </w:rPr>
        <w:t>系统在设计与实施过程中全面落地</w:t>
      </w:r>
      <w:r>
        <w:rPr>
          <w:rFonts w:hint="eastAsia" w:ascii="宋体" w:hAnsi="宋体" w:eastAsia="宋体" w:cs="宋体"/>
          <w:sz w:val="24"/>
          <w:highlight w:val="none"/>
          <w:lang w:val="en-US" w:eastAsia="zh-CN" w:bidi="ar"/>
        </w:rPr>
        <w:t>我行</w:t>
      </w:r>
      <w:r>
        <w:rPr>
          <w:rFonts w:hint="eastAsia" w:ascii="宋体" w:hAnsi="宋体" w:eastAsia="宋体" w:cs="宋体"/>
          <w:sz w:val="24"/>
          <w:highlight w:val="none"/>
          <w:lang w:bidi="ar"/>
        </w:rPr>
        <w:t>数据标准化要求</w:t>
      </w:r>
      <w:r>
        <w:rPr>
          <w:rFonts w:hint="eastAsia" w:ascii="宋体" w:hAnsi="宋体" w:eastAsia="宋体" w:cs="宋体"/>
          <w:sz w:val="24"/>
          <w:highlight w:val="none"/>
          <w:lang w:eastAsia="zh-CN" w:bidi="ar"/>
        </w:rPr>
        <w:t>、</w:t>
      </w:r>
      <w:r>
        <w:rPr>
          <w:rFonts w:hint="eastAsia" w:ascii="宋体" w:hAnsi="宋体" w:eastAsia="宋体" w:cs="宋体"/>
          <w:sz w:val="24"/>
          <w:highlight w:val="none"/>
          <w:lang w:val="en-US" w:eastAsia="zh-CN" w:bidi="ar"/>
        </w:rPr>
        <w:t>元数据管理要求、数据模型管理要求</w:t>
      </w:r>
      <w:r>
        <w:rPr>
          <w:rFonts w:hint="eastAsia" w:ascii="宋体" w:hAnsi="宋体" w:eastAsia="宋体" w:cs="宋体"/>
          <w:b w:val="0"/>
          <w:bCs w:val="0"/>
          <w:sz w:val="24"/>
          <w:highlight w:val="none"/>
          <w:lang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rPr>
          <w:rFonts w:hint="eastAsia" w:ascii="宋体" w:hAnsi="宋体" w:eastAsia="宋体" w:cs="宋体"/>
          <w:kern w:val="0"/>
          <w:sz w:val="24"/>
          <w:szCs w:val="24"/>
          <w:highlight w:val="none"/>
          <w:lang w:val="en-US" w:eastAsia="zh-CN" w:bidi="ar"/>
        </w:rPr>
      </w:pPr>
      <w:r>
        <w:rPr>
          <w:rFonts w:hint="eastAsia" w:ascii="宋体" w:eastAsia="宋体" w:cs="宋体"/>
          <w:b w:val="0"/>
          <w:bCs w:val="0"/>
          <w:sz w:val="24"/>
          <w:highlight w:val="none"/>
          <w:lang w:val="en-US" w:eastAsia="zh-CN" w:bidi="ar"/>
        </w:rPr>
        <w:t xml:space="preserve">2.3 </w:t>
      </w:r>
      <w:r>
        <w:rPr>
          <w:rFonts w:hint="eastAsia" w:ascii="宋体" w:hAnsi="宋体" w:eastAsia="宋体" w:cs="宋体"/>
          <w:kern w:val="2"/>
          <w:sz w:val="24"/>
          <w:szCs w:val="24"/>
          <w:highlight w:val="none"/>
          <w:lang w:val="en-US" w:eastAsia="zh-CN" w:bidi="ar"/>
        </w:rPr>
        <w:t>部署要求：</w:t>
      </w:r>
      <w:r>
        <w:rPr>
          <w:rFonts w:hint="eastAsia" w:ascii="新宋体" w:hAnsi="新宋体" w:eastAsia="新宋体"/>
          <w:sz w:val="24"/>
          <w:highlight w:val="none"/>
          <w:lang w:val="en-US" w:eastAsia="zh-CN"/>
        </w:rPr>
        <w:t>支持集成我行的迭代开发持续集成交付平台（CICD</w:t>
      </w:r>
      <w:r>
        <w:rPr>
          <w:rFonts w:hint="eastAsia"/>
          <w:lang w:eastAsia="zh-CN"/>
        </w:rPr>
        <w:t>）</w:t>
      </w:r>
      <w:r>
        <w:rPr>
          <w:rFonts w:hint="eastAsia" w:ascii="新宋体" w:hAnsi="新宋体" w:eastAsia="新宋体"/>
          <w:sz w:val="24"/>
          <w:highlight w:val="none"/>
          <w:lang w:val="en-US" w:eastAsia="zh-CN"/>
        </w:rPr>
        <w:t>流水工艺要求、满足自动部署、日志采集等</w:t>
      </w:r>
      <w:r>
        <w:rPr>
          <w:rFonts w:hint="eastAsia" w:ascii="宋体" w:hAnsi="宋体" w:eastAsia="宋体" w:cs="宋体"/>
          <w:kern w:val="0"/>
          <w:sz w:val="24"/>
          <w:szCs w:val="24"/>
          <w:highlight w:val="none"/>
          <w:lang w:val="en-US" w:eastAsia="zh-CN" w:bidi="ar"/>
        </w:rPr>
        <w:t>。</w:t>
      </w:r>
    </w:p>
    <w:p>
      <w:pPr>
        <w:widowControl/>
        <w:spacing w:after="0" w:line="440" w:lineRule="exact"/>
        <w:ind w:right="0" w:firstLine="420"/>
        <w:rPr>
          <w:rFonts w:hint="eastAsia"/>
        </w:rPr>
      </w:pPr>
      <w:r>
        <w:rPr>
          <w:rFonts w:hint="eastAsia" w:ascii="宋体" w:hAnsi="宋体" w:eastAsia="宋体" w:cs="宋体"/>
          <w:kern w:val="0"/>
          <w:sz w:val="24"/>
          <w:szCs w:val="24"/>
          <w:highlight w:val="none"/>
          <w:lang w:val="en-US" w:eastAsia="zh-CN" w:bidi="ar"/>
        </w:rPr>
        <w:t>2.4 安全要求：满足我行系统安全规范，支持对外提供数据生成</w:t>
      </w:r>
      <w:r>
        <w:rPr>
          <w:rFonts w:hint="eastAsia" w:ascii="宋体" w:hAnsi="宋体" w:eastAsia="宋体" w:cs="宋体"/>
          <w:sz w:val="24"/>
          <w:szCs w:val="24"/>
          <w:highlight w:val="none"/>
          <w:lang w:val="en-US" w:eastAsia="zh-CN"/>
        </w:rPr>
        <w:t>水印并敏感信息脱敏展示。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rPr>
          <w:rFonts w:hint="eastAsia" w:ascii="宋体" w:hAnsi="宋体" w:eastAsia="宋体" w:cs="宋体"/>
          <w:b/>
          <w:bCs/>
          <w:sz w:val="24"/>
          <w:highlight w:val="none"/>
          <w:lang w:bidi="ar"/>
        </w:rPr>
      </w:pPr>
      <w:r>
        <w:rPr>
          <w:rFonts w:hint="eastAsia" w:ascii="宋体" w:hAnsi="宋体" w:eastAsia="宋体" w:cs="宋体"/>
          <w:b/>
          <w:bCs/>
          <w:sz w:val="24"/>
          <w:highlight w:val="none"/>
          <w:lang w:val="en-US" w:eastAsia="zh-CN" w:bidi="ar"/>
        </w:rPr>
        <w:t xml:space="preserve">3. </w:t>
      </w:r>
      <w:r>
        <w:rPr>
          <w:rFonts w:hint="eastAsia" w:ascii="宋体" w:hAnsi="宋体" w:eastAsia="宋体" w:cs="宋体"/>
          <w:b/>
          <w:bCs/>
          <w:kern w:val="2"/>
          <w:sz w:val="24"/>
          <w:szCs w:val="24"/>
          <w:highlight w:val="none"/>
          <w:lang w:val="en-US" w:eastAsia="zh-CN" w:bidi="ar"/>
        </w:rPr>
        <w:t>供应商资质要求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3.1 企业成立3年及以上，</w:t>
      </w:r>
      <w:r>
        <w:rPr>
          <w:rFonts w:hint="eastAsia" w:ascii="Times New Roman" w:hAnsi="Times New Roman"/>
          <w:sz w:val="24"/>
          <w:lang w:val="en-US" w:eastAsia="zh-CN"/>
        </w:rPr>
        <w:t>近三年财务稳健，</w:t>
      </w:r>
      <w:r>
        <w:rPr>
          <w:rFonts w:hint="eastAsia" w:ascii="宋体" w:hAnsi="宋体" w:eastAsia="宋体" w:cs="宋体"/>
          <w:kern w:val="0"/>
          <w:sz w:val="24"/>
          <w:szCs w:val="24"/>
          <w:highlight w:val="none"/>
          <w:lang w:val="en-US" w:eastAsia="zh-CN" w:bidi="ar"/>
        </w:rPr>
        <w:t>不存在被监管机构禁止或审慎发展的情形，未处于限制开展生产经营活动、责令停产停业、责令关闭、限制从业等重大行政处罚期内。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3.2 近五年（2021年1月1日至今，以合同签订时间为准）至少具有1个资产规模3000亿元人民币（截至2025年12月）以上（含）的银行业风险预警类系统项目建设案例（提供合同复印件，合同上须能清晰体现服务内容，合同中需包含风险预警相关功能，合同签订时间及合同双方盖章，不符合上述要求的案例，视为无效案例）。咨询类项目、维保类项目、升级改造类项目案例视为无效案例。</w:t>
      </w:r>
    </w:p>
    <w:p>
      <w:pPr>
        <w:widowControl/>
        <w:spacing w:after="0" w:line="440" w:lineRule="exact"/>
        <w:ind w:right="0" w:firstLine="420"/>
        <w:jc w:val="left"/>
        <w:rPr>
          <w:rFonts w:hint="eastAsia"/>
        </w:rPr>
      </w:pPr>
      <w:r>
        <w:rPr>
          <w:rFonts w:hint="eastAsia" w:ascii="宋体" w:hAnsi="宋体" w:eastAsia="宋体" w:cs="宋体"/>
          <w:kern w:val="0"/>
          <w:sz w:val="24"/>
          <w:szCs w:val="24"/>
          <w:highlight w:val="none"/>
          <w:lang w:val="en-US" w:eastAsia="zh-CN" w:bidi="ar"/>
        </w:rPr>
        <w:t xml:space="preserve">3.3 </w:t>
      </w:r>
      <w:r>
        <w:rPr>
          <w:rFonts w:hint="eastAsia" w:ascii="宋体" w:eastAsia="宋体" w:cs="宋体"/>
          <w:kern w:val="0"/>
          <w:sz w:val="24"/>
          <w:szCs w:val="24"/>
          <w:highlight w:val="none"/>
          <w:lang w:val="en-US" w:eastAsia="zh-CN" w:bidi="ar"/>
        </w:rPr>
        <w:t>通过软件能力成熟度CMMI资质认证（3级）及以上。</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1. 为中华人民共和国境内合法注册的独立法人，具有独立承担民事责任的能力，拥有合法有效的工商营业执照，且经营范围包含本次采购需求。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2. 充分理解采购需求并能够根据需求提供相应的服务。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3. 遵守国家有关法律、法规，具有良好的商业信誉和健全的财务会计制度。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default"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4. 截至征集时间，未被“信用中国”网站（http://www.creditchina.gov.cn）列入失信被执行人、重大税收违法失信主体、政府采购严重违法失信行为记录名单（提供“信用中国”网站查询截图），未被“国家企业信用信息公示系统（</w:t>
      </w:r>
      <w:r>
        <w:rPr>
          <w:rFonts w:hint="eastAsia" w:ascii="宋体" w:hAnsi="宋体" w:eastAsia="宋体" w:cs="宋体"/>
          <w:color w:val="auto"/>
          <w:sz w:val="24"/>
          <w:szCs w:val="24"/>
          <w:highlight w:val="none"/>
          <w:u w:val="none"/>
          <w:lang w:val="en-US" w:eastAsia="zh-CN"/>
        </w:rPr>
        <w:t>https://www.gsxt.gov.cn/index.html</w:t>
      </w:r>
      <w:r>
        <w:rPr>
          <w:rFonts w:hint="eastAsia" w:ascii="宋体" w:hAnsi="宋体" w:eastAsia="宋体" w:cs="宋体"/>
          <w:b w:val="0"/>
          <w:bCs w:val="0"/>
          <w:kern w:val="2"/>
          <w:sz w:val="24"/>
          <w:szCs w:val="24"/>
          <w:lang w:val="en-US" w:eastAsia="zh-CN" w:bidi="ar"/>
        </w:rPr>
        <w:t>）”列入严重违法失信企业名单、经营异常名录（提供“国家企业信用信息公示系统”网站查询截图），不在厦门国际银行供应商黑名单中。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5. 经营范围经国家行政管理部门依法批准，同时获得从事行业有效执业证明、行政许可、专业资质等证照。</w:t>
      </w:r>
    </w:p>
    <w:p>
      <w:pPr>
        <w:pStyle w:val="5"/>
        <w:keepNext w:val="0"/>
        <w:keepLines w:val="0"/>
        <w:pageBreakBefore w:val="0"/>
        <w:widowControl w:val="0"/>
        <w:kinsoku/>
        <w:wordWrap/>
        <w:overflowPunct/>
        <w:topLinePunct w:val="0"/>
        <w:autoSpaceDE/>
        <w:autoSpaceDN/>
        <w:bidi w:val="0"/>
        <w:adjustRightInd/>
        <w:snapToGrid/>
        <w:ind w:firstLine="420" w:firstLineChars="0"/>
        <w:textAlignment w:val="auto"/>
        <w:rPr>
          <w:rFonts w:hint="eastAsia" w:ascii="宋体" w:eastAsia="宋体" w:cs="宋体"/>
          <w:b w:val="0"/>
          <w:bCs w:val="0"/>
          <w:kern w:val="2"/>
          <w:sz w:val="24"/>
          <w:szCs w:val="24"/>
          <w:lang w:val="en-US" w:eastAsia="zh-CN" w:bidi="ar"/>
        </w:rPr>
      </w:pPr>
      <w:r>
        <w:rPr>
          <w:rFonts w:hint="eastAsia" w:ascii="宋体" w:eastAsia="宋体" w:cs="宋体"/>
          <w:b w:val="0"/>
          <w:bCs w:val="0"/>
          <w:kern w:val="2"/>
          <w:sz w:val="24"/>
          <w:szCs w:val="24"/>
          <w:lang w:val="en-US" w:eastAsia="zh-CN" w:bidi="ar"/>
        </w:rPr>
        <w:t>6. 同一法定代表人的两个及两个以上法人、母公司、全资子公司及其控股公司不得在同一次项目中参加报名。</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pPr>
        <w:keepNext w:val="0"/>
        <w:keepLines w:val="0"/>
        <w:widowControl/>
        <w:suppressLineNumbers w:val="0"/>
        <w:spacing w:before="0" w:beforeAutospacing="0" w:after="0" w:afterAutospacing="0" w:line="440" w:lineRule="exact"/>
        <w:ind w:right="0" w:firstLine="420" w:firstLineChars="0"/>
        <w:jc w:val="left"/>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本次供应商征集自即日起至2026年6月</w:t>
      </w:r>
      <w:r>
        <w:rPr>
          <w:rFonts w:hint="eastAsia" w:ascii="宋体" w:hAnsi="宋体" w:eastAsia="宋体" w:cs="宋体"/>
          <w:kern w:val="2"/>
          <w:sz w:val="24"/>
          <w:szCs w:val="24"/>
          <w:highlight w:val="none"/>
          <w:lang w:val="en-US" w:eastAsia="zh-CN" w:bidi="ar"/>
        </w:rPr>
        <w:t>15</w:t>
      </w:r>
      <w:r>
        <w:rPr>
          <w:rFonts w:hint="eastAsia" w:ascii="宋体" w:hAnsi="宋体" w:eastAsia="宋体" w:cs="宋体"/>
          <w:kern w:val="2"/>
          <w:sz w:val="24"/>
          <w:szCs w:val="24"/>
          <w:lang w:val="en-US" w:eastAsia="zh-CN" w:bidi="ar"/>
        </w:rPr>
        <w:t>日23:59止。</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pPr>
        <w:keepNext w:val="0"/>
        <w:keepLines w:val="0"/>
        <w:widowControl w:val="0"/>
        <w:suppressLineNumbers w:val="0"/>
        <w:spacing w:before="0" w:beforeAutospacing="0" w:after="0" w:afterAutospacing="0" w:line="440" w:lineRule="exact"/>
        <w:ind w:left="0" w:right="0" w:firstLine="480" w:firstLineChars="200"/>
        <w:jc w:val="left"/>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供应商征集联系人：</w:t>
      </w:r>
      <w:r>
        <w:rPr>
          <w:rFonts w:hint="eastAsia" w:ascii="宋体" w:hAnsi="宋体" w:eastAsia="宋体" w:cs="宋体"/>
          <w:b w:val="0"/>
          <w:bCs w:val="0"/>
          <w:kern w:val="2"/>
          <w:sz w:val="24"/>
          <w:szCs w:val="24"/>
          <w:lang w:val="en-US" w:eastAsia="zh-CN" w:bidi="ar"/>
        </w:rPr>
        <w:t>白</w:t>
      </w:r>
      <w:r>
        <w:rPr>
          <w:rFonts w:hint="eastAsia" w:ascii="宋体" w:hAnsi="宋体" w:eastAsia="宋体" w:cs="宋体"/>
          <w:kern w:val="2"/>
          <w:sz w:val="24"/>
          <w:szCs w:val="24"/>
          <w:highlight w:val="none"/>
          <w:lang w:val="en-US" w:eastAsia="zh-CN" w:bidi="ar"/>
        </w:rPr>
        <w:t>老师，联系电话：</w:t>
      </w:r>
      <w:r>
        <w:rPr>
          <w:rFonts w:ascii="宋体" w:hAnsi="宋体" w:eastAsia="宋体"/>
          <w:sz w:val="24"/>
          <w:szCs w:val="24"/>
          <w:highlight w:val="none"/>
        </w:rPr>
        <w:t>0592</w:t>
      </w:r>
      <w:r>
        <w:rPr>
          <w:rFonts w:hint="eastAsia" w:ascii="宋体" w:hAnsi="宋体" w:eastAsia="宋体"/>
          <w:sz w:val="24"/>
          <w:szCs w:val="24"/>
          <w:highlight w:val="none"/>
        </w:rPr>
        <w:t>-</w:t>
      </w:r>
      <w:r>
        <w:rPr>
          <w:rFonts w:ascii="宋体" w:hAnsi="宋体" w:eastAsia="宋体"/>
          <w:sz w:val="24"/>
          <w:szCs w:val="24"/>
          <w:highlight w:val="none"/>
        </w:rPr>
        <w:t>2078888</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6163</w:t>
      </w:r>
      <w:r>
        <w:rPr>
          <w:rFonts w:hint="eastAsia" w:ascii="宋体" w:hAnsi="宋体" w:eastAsia="宋体" w:cs="宋体"/>
          <w:kern w:val="2"/>
          <w:sz w:val="24"/>
          <w:szCs w:val="24"/>
          <w:highlight w:val="none"/>
          <w:lang w:val="en-US" w:eastAsia="zh-CN" w:bidi="ar"/>
        </w:rPr>
        <w:t>；张老师，联系电话：</w:t>
      </w:r>
      <w:r>
        <w:rPr>
          <w:rFonts w:ascii="宋体" w:hAnsi="宋体" w:eastAsia="宋体"/>
          <w:sz w:val="24"/>
          <w:szCs w:val="24"/>
          <w:highlight w:val="none"/>
        </w:rPr>
        <w:t>0592</w:t>
      </w:r>
      <w:r>
        <w:rPr>
          <w:rFonts w:hint="eastAsia" w:ascii="宋体" w:hAnsi="宋体" w:eastAsia="宋体"/>
          <w:sz w:val="24"/>
          <w:szCs w:val="24"/>
          <w:highlight w:val="none"/>
        </w:rPr>
        <w:t>-</w:t>
      </w:r>
      <w:r>
        <w:rPr>
          <w:rFonts w:hint="eastAsia" w:ascii="宋体" w:hAnsi="宋体" w:eastAsia="宋体" w:cs="宋体"/>
          <w:i w:val="0"/>
          <w:iCs w:val="0"/>
          <w:caps w:val="0"/>
          <w:color w:val="auto"/>
          <w:spacing w:val="0"/>
          <w:sz w:val="24"/>
          <w:szCs w:val="24"/>
          <w:highlight w:val="none"/>
          <w:lang w:bidi="ar"/>
        </w:rPr>
        <w:t>7010288</w:t>
      </w:r>
      <w:r>
        <w:rPr>
          <w:rFonts w:hint="eastAsia" w:ascii="宋体" w:hAnsi="宋体" w:eastAsia="宋体" w:cs="宋体"/>
          <w:sz w:val="24"/>
          <w:szCs w:val="24"/>
          <w:highlight w:val="none"/>
          <w:lang w:val="en-US" w:eastAsia="zh-CN" w:bidi="ar"/>
        </w:rPr>
        <w:t>-6678。</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w:t>
      </w:r>
      <w:r>
        <w:rPr>
          <w:rFonts w:hint="eastAsia" w:ascii="宋体" w:hAnsi="宋体" w:eastAsia="宋体" w:cs="宋体"/>
          <w:b w:val="0"/>
          <w:bCs w:val="0"/>
          <w:kern w:val="2"/>
          <w:sz w:val="24"/>
          <w:szCs w:val="24"/>
          <w:lang w:val="en-US" w:eastAsia="zh-CN" w:bidi="ar"/>
        </w:rPr>
        <w:t>baiys</w:t>
      </w:r>
      <w:r>
        <w:rPr>
          <w:rFonts w:hint="eastAsia" w:ascii="宋体" w:hAnsi="宋体" w:eastAsia="宋体"/>
          <w:sz w:val="24"/>
          <w:szCs w:val="24"/>
          <w:highlight w:val="none"/>
          <w:lang w:val="en-US" w:eastAsia="zh-CN"/>
        </w:rPr>
        <w:t>@xib.com.cn、zhangyangh@xib.com.cn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bookmarkStart w:id="0" w:name="_GoBack"/>
      <w:bookmarkEnd w:id="0"/>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5" w:firstLineChars="0"/>
        <w:jc w:val="lef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提交的供应商资料内容包括如下两项： </w:t>
      </w:r>
    </w:p>
    <w:p>
      <w:pPr>
        <w:keepNext w:val="0"/>
        <w:keepLines w:val="0"/>
        <w:widowControl/>
        <w:numPr>
          <w:ilvl w:val="0"/>
          <w:numId w:val="0"/>
        </w:numPr>
        <w:suppressLineNumbers w:val="0"/>
        <w:spacing w:before="0" w:beforeAutospacing="0" w:after="0" w:afterAutospacing="0" w:line="440" w:lineRule="exact"/>
        <w:ind w:right="0" w:rightChars="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材料1：《厦门国际银行附属机构集友银行对公风险预警平台项目》供应商征集反馈材料-公司名称（全称）</w:t>
      </w:r>
    </w:p>
    <w:p>
      <w:pPr>
        <w:keepNext w:val="0"/>
        <w:keepLines w:val="0"/>
        <w:widowControl/>
        <w:numPr>
          <w:ilvl w:val="0"/>
          <w:numId w:val="0"/>
        </w:numPr>
        <w:suppressLineNumbers w:val="0"/>
        <w:spacing w:before="0" w:beforeAutospacing="0" w:after="0" w:afterAutospacing="0" w:line="440" w:lineRule="exact"/>
        <w:ind w:right="0" w:rightChars="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材料2：</w:t>
      </w:r>
      <w:r>
        <w:rPr>
          <w:rFonts w:hint="eastAsia" w:ascii="宋体" w:hAnsi="宋体" w:eastAsia="宋体" w:cs="宋体"/>
          <w:kern w:val="0"/>
          <w:sz w:val="24"/>
          <w:szCs w:val="24"/>
          <w:lang w:val="en-US" w:eastAsia="zh-CN" w:bidi="ar"/>
        </w:rPr>
        <w:t>承诺函</w:t>
      </w:r>
    </w:p>
    <w:p>
      <w:pPr>
        <w:pStyle w:val="9"/>
        <w:keepNext w:val="0"/>
        <w:keepLines w:val="0"/>
        <w:widowControl/>
        <w:suppressLineNumbers w:val="0"/>
        <w:topLinePunct/>
        <w:spacing w:before="0" w:beforeAutospacing="0" w:after="0" w:afterAutospacing="0" w:line="440" w:lineRule="exact"/>
        <w:ind w:left="0" w:leftChars="0" w:right="0" w:firstLine="480" w:firstLineChars="200"/>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两</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w:t>
      </w:r>
      <w:r>
        <w:rPr>
          <w:rFonts w:hint="eastAsia" w:ascii="宋体" w:hAnsi="宋体" w:eastAsia="宋体" w:cs="宋体"/>
          <w:b w:val="0"/>
          <w:bCs w:val="0"/>
          <w:color w:val="auto"/>
          <w:sz w:val="24"/>
          <w:szCs w:val="24"/>
          <w:u w:val="none"/>
          <w:lang w:val="en-US" w:eastAsia="zh-CN"/>
        </w:rPr>
        <w:t>，并</w:t>
      </w:r>
      <w:r>
        <w:rPr>
          <w:rFonts w:hint="eastAsia" w:ascii="宋体" w:hAnsi="宋体" w:eastAsia="宋体" w:cs="宋体"/>
          <w:sz w:val="24"/>
          <w:szCs w:val="24"/>
        </w:rPr>
        <w:t>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5" w:firstLineChars="0"/>
        <w:jc w:val="both"/>
        <w:textAlignment w:val="auto"/>
        <w:rPr>
          <w:rFonts w:hint="default" w:eastAsia="宋体"/>
          <w:lang w:val="en-US" w:eastAsia="zh-CN"/>
        </w:rPr>
      </w:pPr>
      <w:r>
        <w:rPr>
          <w:rFonts w:hint="eastAsia" w:ascii="宋体" w:hAnsi="宋体" w:eastAsia="宋体" w:cs="宋体"/>
          <w:kern w:val="2"/>
          <w:sz w:val="24"/>
          <w:szCs w:val="24"/>
          <w:lang w:val="en-US" w:eastAsia="zh-CN" w:bidi="ar"/>
        </w:rPr>
        <w:t>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材料1和材料2转为PDF格式发送。</w:t>
      </w:r>
      <w:r>
        <w:rPr>
          <w:rFonts w:hint="eastAsia" w:ascii="宋体" w:hAnsi="宋体" w:eastAsia="宋体" w:cs="宋体"/>
          <w:kern w:val="2"/>
          <w:sz w:val="24"/>
          <w:szCs w:val="24"/>
          <w:lang w:val="en-US" w:eastAsia="zh-CN" w:bidi="ar"/>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5" w:firstLineChars="0"/>
        <w:jc w:val="both"/>
        <w:textAlignment w:val="auto"/>
        <w:rPr>
          <w:rFonts w:hint="default" w:eastAsia="宋体"/>
          <w:lang w:val="en-US" w:eastAsia="zh-CN"/>
        </w:rPr>
      </w:pP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w:t>
      </w:r>
      <w:r>
        <w:rPr>
          <w:rFonts w:hint="eastAsia" w:ascii="宋体" w:hAnsi="宋体" w:eastAsia="宋体"/>
          <w:color w:val="auto"/>
          <w:sz w:val="24"/>
          <w:szCs w:val="24"/>
        </w:rPr>
        <w:t>如已在厦门国际银行供应商库内，无需再次注册。</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5" w:firstLineChars="0"/>
        <w:jc w:val="left"/>
        <w:textAlignment w:val="auto"/>
        <w:rPr>
          <w:rFonts w:hint="eastAsia" w:ascii="宋体" w:eastAsia="宋体"/>
          <w:color w:val="auto"/>
          <w:sz w:val="24"/>
          <w:szCs w:val="24"/>
          <w:lang w:val="en-US" w:eastAsia="zh-CN"/>
        </w:rPr>
      </w:pPr>
      <w:r>
        <w:rPr>
          <w:rFonts w:hint="eastAsia" w:ascii="宋体" w:eastAsia="宋体"/>
          <w:color w:val="auto"/>
          <w:sz w:val="24"/>
          <w:szCs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425" w:firstLineChars="0"/>
        <w:jc w:val="left"/>
        <w:textAlignment w:val="auto"/>
        <w:rPr>
          <w:rFonts w:hint="default" w:ascii="宋体" w:hAnsi="宋体" w:eastAsia="宋体"/>
          <w:sz w:val="24"/>
          <w:szCs w:val="24"/>
          <w:lang w:val="en-US" w:eastAsia="zh-CN"/>
        </w:rPr>
      </w:pPr>
      <w:r>
        <w:rPr>
          <w:rFonts w:hint="eastAsia" w:ascii="宋体" w:hAnsi="宋体" w:eastAsia="宋体"/>
          <w:sz w:val="24"/>
          <w:szCs w:val="24"/>
        </w:rPr>
        <w:t>请按上述要求提供报名材料，报名资料须提供加盖公章的原件扫描件，对于递交资料不全的、资料内容缺失的，或未按要求加盖公章及法人签</w:t>
      </w:r>
      <w:r>
        <w:rPr>
          <w:rFonts w:hint="eastAsia" w:ascii="宋体" w:hAnsi="宋体" w:eastAsia="宋体"/>
          <w:sz w:val="24"/>
          <w:szCs w:val="24"/>
          <w:lang w:val="en-US" w:eastAsia="zh-CN"/>
        </w:rPr>
        <w:t>章</w:t>
      </w:r>
      <w:r>
        <w:rPr>
          <w:rFonts w:hint="eastAsia" w:ascii="宋体" w:hAnsi="宋体" w:eastAsia="宋体"/>
          <w:sz w:val="24"/>
          <w:szCs w:val="24"/>
        </w:rPr>
        <w:t>的原件电子扫描件视为报名资料缺漏，采购人将拒绝接受其报名。</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pPr>
        <w:bidi w:val="0"/>
        <w:rPr>
          <w:rFonts w:hint="eastAsia"/>
          <w:lang w:val="en-US" w:eastAsia="zh-CN"/>
        </w:rPr>
      </w:pP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六、其他注意事项</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 能够完全满足我行采购需求、有合作意向、符合资格要求、报名要求的供应商均可报名。</w:t>
      </w:r>
    </w:p>
    <w:p>
      <w:pPr>
        <w:pStyle w:val="5"/>
        <w:rPr>
          <w:rFonts w:hint="eastAsia" w:ascii="宋体" w:hAnsi="宋体" w:eastAsia="宋体" w:cs="宋体"/>
          <w:b/>
          <w:bCs/>
          <w:color w:val="FF0000"/>
          <w:kern w:val="2"/>
          <w:sz w:val="24"/>
          <w:szCs w:val="24"/>
          <w:lang w:val="en-US" w:eastAsia="zh-CN" w:bidi="ar"/>
        </w:rPr>
      </w:pPr>
      <w:r>
        <w:rPr>
          <w:rFonts w:hint="eastAsia" w:ascii="宋体" w:eastAsia="宋体" w:cs="宋体"/>
          <w:kern w:val="2"/>
          <w:sz w:val="24"/>
          <w:szCs w:val="24"/>
          <w:lang w:val="en-US" w:eastAsia="zh-CN" w:bidi="ar"/>
        </w:rPr>
        <w:t xml:space="preserve">2. </w:t>
      </w:r>
      <w:r>
        <w:rPr>
          <w:rFonts w:hint="eastAsia" w:ascii="宋体" w:hAnsi="宋体" w:eastAsia="宋体" w:cs="宋体"/>
          <w:b/>
          <w:bCs/>
          <w:color w:val="FF0000"/>
          <w:kern w:val="2"/>
          <w:sz w:val="24"/>
          <w:szCs w:val="24"/>
          <w:lang w:val="en-US" w:eastAsia="zh-CN" w:bidi="ar"/>
        </w:rPr>
        <w:t>征集人接收供应商的报名资料并不表示接受报名供应商参与本项目，征集人有权选定并邀请全部或部分合格供应商参与本项目集中采购活动。</w:t>
      </w:r>
    </w:p>
    <w:p>
      <w:pPr>
        <w:pStyle w:val="5"/>
        <w:rPr>
          <w:rFonts w:hint="eastAsia"/>
        </w:rPr>
      </w:pPr>
      <w:r>
        <w:rPr>
          <w:rFonts w:hint="eastAsia"/>
        </w:rPr>
        <w:t>进入邀请名单的供应商将以邮件形式进行通知，非请勿扰。</w:t>
      </w:r>
    </w:p>
    <w:p>
      <w:pPr>
        <w:pStyle w:val="5"/>
        <w:numPr>
          <w:ilvl w:val="0"/>
          <w:numId w:val="5"/>
        </w:numPr>
        <w:rPr>
          <w:rFonts w:hint="eastAsia"/>
        </w:rPr>
      </w:pPr>
      <w:r>
        <w:rPr>
          <w:rFonts w:hint="eastAsia" w:ascii="宋体" w:eastAsia="宋体" w:cs="宋体"/>
          <w:kern w:val="2"/>
          <w:sz w:val="24"/>
          <w:szCs w:val="24"/>
          <w:lang w:val="en-US" w:eastAsia="zh-CN" w:bidi="ar"/>
        </w:rPr>
        <w:t>征集人视收到的上述资料不涉及商业秘密，所有供应商报名资料恕不退还。</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 本次公开征集不收取供应商的任何费用。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 供应商须对报名信息和资料的真实性负责。如提供虚假材料，我行有权将其列入供应商黑名单，不得参与本行集中采购活动。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对于上述事项存在疑问的，请及时与我行联系。</w:t>
      </w:r>
    </w:p>
    <w:p>
      <w:pPr>
        <w:spacing w:line="440" w:lineRule="exact"/>
        <w:ind w:firstLine="480" w:firstLineChars="200"/>
        <w:jc w:val="left"/>
        <w:rPr>
          <w:rFonts w:hint="eastAsia"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hint="eastAsia" w:ascii="宋体" w:hAnsi="宋体" w:eastAsia="宋体"/>
          <w:sz w:val="24"/>
          <w:szCs w:val="24"/>
        </w:rPr>
      </w:pP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lang w:val="en-US" w:eastAsia="zh-CN"/>
        </w:rPr>
        <w:t>26</w:t>
      </w:r>
      <w:r>
        <w:rPr>
          <w:rFonts w:ascii="宋体" w:hAnsi="宋体" w:eastAsia="宋体"/>
          <w:sz w:val="24"/>
          <w:szCs w:val="24"/>
        </w:rPr>
        <w:t>年</w:t>
      </w:r>
      <w:r>
        <w:rPr>
          <w:rFonts w:hint="eastAsia" w:ascii="宋体" w:hAnsi="宋体" w:eastAsia="宋体"/>
          <w:sz w:val="24"/>
          <w:szCs w:val="24"/>
          <w:lang w:val="en-US" w:eastAsia="zh-CN"/>
        </w:rPr>
        <w:t>6</w:t>
      </w:r>
      <w:r>
        <w:rPr>
          <w:rFonts w:ascii="宋体" w:hAnsi="宋体" w:eastAsia="宋体"/>
          <w:sz w:val="24"/>
          <w:szCs w:val="24"/>
        </w:rPr>
        <w:t>月</w:t>
      </w:r>
      <w:r>
        <w:rPr>
          <w:rFonts w:hint="eastAsia" w:ascii="宋体" w:hAnsi="宋体" w:eastAsia="宋体"/>
          <w:sz w:val="24"/>
          <w:szCs w:val="24"/>
          <w:lang w:val="en-US" w:eastAsia="zh-CN"/>
        </w:rPr>
        <w:t>8</w:t>
      </w:r>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8463E"/>
    <w:multiLevelType w:val="singleLevel"/>
    <w:tmpl w:val="AE98463E"/>
    <w:lvl w:ilvl="0" w:tentative="0">
      <w:start w:val="3"/>
      <w:numFmt w:val="decimal"/>
      <w:suff w:val="space"/>
      <w:lvlText w:val="%1."/>
      <w:lvlJc w:val="left"/>
    </w:lvl>
  </w:abstractNum>
  <w:abstractNum w:abstractNumId="1">
    <w:nsid w:val="F6FDC948"/>
    <w:multiLevelType w:val="singleLevel"/>
    <w:tmpl w:val="F6FDC948"/>
    <w:lvl w:ilvl="0" w:tentative="0">
      <w:start w:val="1"/>
      <w:numFmt w:val="chineseCounting"/>
      <w:suff w:val="nothing"/>
      <w:lvlText w:val="（%1）"/>
      <w:lvlJc w:val="left"/>
      <w:pPr>
        <w:ind w:left="0" w:firstLine="420"/>
      </w:pPr>
      <w:rPr>
        <w:rFonts w:hint="eastAsia"/>
      </w:rPr>
    </w:lvl>
  </w:abstractNum>
  <w:abstractNum w:abstractNumId="2">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4"/>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42EDF7F9"/>
    <w:multiLevelType w:val="singleLevel"/>
    <w:tmpl w:val="42EDF7F9"/>
    <w:lvl w:ilvl="0" w:tentative="0">
      <w:start w:val="1"/>
      <w:numFmt w:val="decimal"/>
      <w:lvlText w:val="%1."/>
      <w:lvlJc w:val="left"/>
      <w:pPr>
        <w:ind w:left="425" w:hanging="425"/>
      </w:pPr>
      <w:rPr>
        <w:rFonts w:hint="default" w:ascii="Times New Roman" w:hAnsi="Times New Roman" w:cs="Times New Roman"/>
        <w:b w:val="0"/>
        <w:bCs w:val="0"/>
        <w:sz w:val="24"/>
        <w:szCs w:val="24"/>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B47DC2"/>
    <w:rsid w:val="0280373E"/>
    <w:rsid w:val="02AF65DD"/>
    <w:rsid w:val="035717DD"/>
    <w:rsid w:val="040824AC"/>
    <w:rsid w:val="04C50596"/>
    <w:rsid w:val="04F52815"/>
    <w:rsid w:val="05CE064B"/>
    <w:rsid w:val="05DF0F7E"/>
    <w:rsid w:val="062D1568"/>
    <w:rsid w:val="06B62CBE"/>
    <w:rsid w:val="06E23AB3"/>
    <w:rsid w:val="07497525"/>
    <w:rsid w:val="07590D47"/>
    <w:rsid w:val="07C10BDA"/>
    <w:rsid w:val="080D77A6"/>
    <w:rsid w:val="08ED64C0"/>
    <w:rsid w:val="09A44488"/>
    <w:rsid w:val="0BA9624D"/>
    <w:rsid w:val="0C1C796E"/>
    <w:rsid w:val="0CDC0B61"/>
    <w:rsid w:val="0D1E35B1"/>
    <w:rsid w:val="0EEC2C1C"/>
    <w:rsid w:val="0FC925AA"/>
    <w:rsid w:val="0FE764A2"/>
    <w:rsid w:val="10D05B8E"/>
    <w:rsid w:val="10D32584"/>
    <w:rsid w:val="127E72EA"/>
    <w:rsid w:val="143C503F"/>
    <w:rsid w:val="151C4634"/>
    <w:rsid w:val="1692251D"/>
    <w:rsid w:val="171A6EB7"/>
    <w:rsid w:val="17766761"/>
    <w:rsid w:val="178D7253"/>
    <w:rsid w:val="18A67FD1"/>
    <w:rsid w:val="190C57CD"/>
    <w:rsid w:val="1AF5110C"/>
    <w:rsid w:val="1B052822"/>
    <w:rsid w:val="1B796822"/>
    <w:rsid w:val="1C1E560A"/>
    <w:rsid w:val="1C4B0A11"/>
    <w:rsid w:val="1C5674A5"/>
    <w:rsid w:val="1C84132C"/>
    <w:rsid w:val="1D116FEE"/>
    <w:rsid w:val="1D354941"/>
    <w:rsid w:val="1DC84EC7"/>
    <w:rsid w:val="1ED54905"/>
    <w:rsid w:val="1FD80A16"/>
    <w:rsid w:val="20363F90"/>
    <w:rsid w:val="21DC0327"/>
    <w:rsid w:val="222E42E1"/>
    <w:rsid w:val="242579B9"/>
    <w:rsid w:val="248511C0"/>
    <w:rsid w:val="24CD59D3"/>
    <w:rsid w:val="250E5D48"/>
    <w:rsid w:val="26C04745"/>
    <w:rsid w:val="28C52760"/>
    <w:rsid w:val="2B312BCE"/>
    <w:rsid w:val="2C002AAE"/>
    <w:rsid w:val="2C6C20A5"/>
    <w:rsid w:val="2C842DF2"/>
    <w:rsid w:val="2CF02B32"/>
    <w:rsid w:val="2D4B705C"/>
    <w:rsid w:val="2DB64064"/>
    <w:rsid w:val="2DE013E2"/>
    <w:rsid w:val="2EB247B1"/>
    <w:rsid w:val="2FE049B1"/>
    <w:rsid w:val="31684AAA"/>
    <w:rsid w:val="329F3E18"/>
    <w:rsid w:val="33BE6305"/>
    <w:rsid w:val="360B0315"/>
    <w:rsid w:val="38325D99"/>
    <w:rsid w:val="38680F4C"/>
    <w:rsid w:val="399C356F"/>
    <w:rsid w:val="39B23330"/>
    <w:rsid w:val="3A811726"/>
    <w:rsid w:val="3B4306F9"/>
    <w:rsid w:val="3B693880"/>
    <w:rsid w:val="3D5971F1"/>
    <w:rsid w:val="3DB755CD"/>
    <w:rsid w:val="3DC90D6A"/>
    <w:rsid w:val="3E4220AE"/>
    <w:rsid w:val="3FE34229"/>
    <w:rsid w:val="40761802"/>
    <w:rsid w:val="44527E60"/>
    <w:rsid w:val="461456FB"/>
    <w:rsid w:val="46BD1A69"/>
    <w:rsid w:val="46CC4364"/>
    <w:rsid w:val="47670B87"/>
    <w:rsid w:val="4A343869"/>
    <w:rsid w:val="4A5C1CA0"/>
    <w:rsid w:val="4A745558"/>
    <w:rsid w:val="4AB60E18"/>
    <w:rsid w:val="4BC157CC"/>
    <w:rsid w:val="4C7F5C47"/>
    <w:rsid w:val="4C9B4B2A"/>
    <w:rsid w:val="4CD11D83"/>
    <w:rsid w:val="4D7D2D57"/>
    <w:rsid w:val="4E563093"/>
    <w:rsid w:val="4F402D9D"/>
    <w:rsid w:val="4FF80064"/>
    <w:rsid w:val="50CE4278"/>
    <w:rsid w:val="53AE3814"/>
    <w:rsid w:val="5407085B"/>
    <w:rsid w:val="55BD49BE"/>
    <w:rsid w:val="55D35DB7"/>
    <w:rsid w:val="577D49C7"/>
    <w:rsid w:val="57BF3223"/>
    <w:rsid w:val="58B23D9D"/>
    <w:rsid w:val="5994364C"/>
    <w:rsid w:val="5B0305D2"/>
    <w:rsid w:val="5B4C5BA9"/>
    <w:rsid w:val="5C473ADD"/>
    <w:rsid w:val="5CB83282"/>
    <w:rsid w:val="5CC84698"/>
    <w:rsid w:val="5CF714FC"/>
    <w:rsid w:val="5F4C5CE4"/>
    <w:rsid w:val="5FF82CFA"/>
    <w:rsid w:val="600B4CD4"/>
    <w:rsid w:val="6023072B"/>
    <w:rsid w:val="62152226"/>
    <w:rsid w:val="624E1EE7"/>
    <w:rsid w:val="626C7775"/>
    <w:rsid w:val="62B765E8"/>
    <w:rsid w:val="63981DDE"/>
    <w:rsid w:val="66665D3B"/>
    <w:rsid w:val="66766015"/>
    <w:rsid w:val="66865C25"/>
    <w:rsid w:val="672F63D1"/>
    <w:rsid w:val="675107D2"/>
    <w:rsid w:val="67DD0E32"/>
    <w:rsid w:val="6828423E"/>
    <w:rsid w:val="69057612"/>
    <w:rsid w:val="69603456"/>
    <w:rsid w:val="69771799"/>
    <w:rsid w:val="6A0A0D36"/>
    <w:rsid w:val="6A780F30"/>
    <w:rsid w:val="6E343CB2"/>
    <w:rsid w:val="6F2F4B24"/>
    <w:rsid w:val="709E3630"/>
    <w:rsid w:val="71814EAA"/>
    <w:rsid w:val="71AA5D09"/>
    <w:rsid w:val="71DF5E84"/>
    <w:rsid w:val="7305217D"/>
    <w:rsid w:val="7335121F"/>
    <w:rsid w:val="755F2B0A"/>
    <w:rsid w:val="75DF3D02"/>
    <w:rsid w:val="761D22B8"/>
    <w:rsid w:val="767B738B"/>
    <w:rsid w:val="76D13D4E"/>
    <w:rsid w:val="7A5F1A42"/>
    <w:rsid w:val="7A646F29"/>
    <w:rsid w:val="7B670D66"/>
    <w:rsid w:val="7C7C4FB5"/>
    <w:rsid w:val="7D542745"/>
    <w:rsid w:val="7E347013"/>
    <w:rsid w:val="7E591111"/>
    <w:rsid w:val="7EA62622"/>
    <w:rsid w:val="7EB85F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4">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5">
    <w:name w:val="Normal Indent"/>
    <w:basedOn w:val="1"/>
    <w:next w:val="6"/>
    <w:qFormat/>
    <w:uiPriority w:val="0"/>
    <w:pPr>
      <w:spacing w:line="360" w:lineRule="auto"/>
      <w:ind w:firstLine="480" w:firstLineChars="200"/>
    </w:pPr>
    <w:rPr>
      <w:rFonts w:ascii="Times New Roman" w:hAnsi="宋体"/>
      <w:sz w:val="24"/>
      <w:szCs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text"/>
    <w:basedOn w:val="1"/>
    <w:qFormat/>
    <w:uiPriority w:val="0"/>
    <w:pPr>
      <w:jc w:val="left"/>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FollowedHyperlink"/>
    <w:basedOn w:val="11"/>
    <w:qFormat/>
    <w:uiPriority w:val="0"/>
    <w:rPr>
      <w:color w:val="277EFF"/>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Acronym"/>
    <w:basedOn w:val="11"/>
    <w:qFormat/>
    <w:uiPriority w:val="0"/>
  </w:style>
  <w:style w:type="character" w:styleId="17">
    <w:name w:val="HTML Variable"/>
    <w:basedOn w:val="11"/>
    <w:qFormat/>
    <w:uiPriority w:val="0"/>
  </w:style>
  <w:style w:type="character" w:styleId="18">
    <w:name w:val="Hyperlink"/>
    <w:basedOn w:val="11"/>
    <w:qFormat/>
    <w:uiPriority w:val="0"/>
    <w:rPr>
      <w:color w:val="277EFF"/>
      <w:u w:val="none"/>
    </w:rPr>
  </w:style>
  <w:style w:type="character" w:styleId="19">
    <w:name w:val="HTML Code"/>
    <w:basedOn w:val="11"/>
    <w:qFormat/>
    <w:uiPriority w:val="0"/>
    <w:rPr>
      <w:rFonts w:ascii="Courier New" w:hAnsi="Courier New"/>
      <w:sz w:val="20"/>
    </w:rPr>
  </w:style>
  <w:style w:type="character" w:styleId="20">
    <w:name w:val="annotation reference"/>
    <w:semiHidden/>
    <w:qFormat/>
    <w:uiPriority w:val="99"/>
    <w:rPr>
      <w:sz w:val="21"/>
      <w:szCs w:val="21"/>
    </w:rPr>
  </w:style>
  <w:style w:type="character" w:styleId="21">
    <w:name w:val="HTML Cite"/>
    <w:basedOn w:val="11"/>
    <w:qFormat/>
    <w:uiPriority w:val="0"/>
  </w:style>
  <w:style w:type="paragraph" w:customStyle="1" w:styleId="22">
    <w:name w:val="标题_自定义_4"/>
    <w:basedOn w:val="4"/>
    <w:qFormat/>
    <w:uiPriority w:val="0"/>
    <w:pPr>
      <w:numPr>
        <w:ilvl w:val="3"/>
        <w:numId w:val="2"/>
      </w:numPr>
      <w:spacing w:line="372" w:lineRule="auto"/>
    </w:pPr>
    <w:rPr>
      <w:rFonts w:ascii="Times New Roman" w:hAnsi="Cambria" w:eastAsia="宋体" w:cs="Times New Roman"/>
      <w:sz w:val="24"/>
      <w:szCs w:val="24"/>
    </w:rPr>
  </w:style>
  <w:style w:type="character" w:customStyle="1" w:styleId="23">
    <w:name w:val="concat-text"/>
    <w:basedOn w:val="11"/>
    <w:qFormat/>
    <w:uiPriority w:val="0"/>
  </w:style>
  <w:style w:type="character" w:customStyle="1" w:styleId="24">
    <w:name w:val="hover7"/>
    <w:basedOn w:val="11"/>
    <w:qFormat/>
    <w:uiPriority w:val="0"/>
    <w:rPr>
      <w:color w:val="004098"/>
      <w:bdr w:val="single" w:color="004098" w:sz="4" w:space="0"/>
    </w:rPr>
  </w:style>
  <w:style w:type="character" w:customStyle="1" w:styleId="25">
    <w:name w:val="hover8"/>
    <w:basedOn w:val="11"/>
    <w:qFormat/>
    <w:uiPriority w:val="0"/>
    <w:rPr>
      <w:color w:val="FFFFFF"/>
      <w:shd w:val="clear" w:fill="004098"/>
    </w:rPr>
  </w:style>
  <w:style w:type="character" w:customStyle="1" w:styleId="26">
    <w:name w:val="hover9"/>
    <w:basedOn w:val="11"/>
    <w:qFormat/>
    <w:uiPriority w:val="0"/>
    <w:rPr>
      <w:color w:val="FFFFFF"/>
    </w:rPr>
  </w:style>
  <w:style w:type="character" w:customStyle="1" w:styleId="27">
    <w:name w:val="hover10"/>
    <w:basedOn w:val="11"/>
    <w:qFormat/>
    <w:uiPriority w:val="0"/>
    <w:rPr>
      <w:color w:val="FFFFFF"/>
      <w:shd w:val="clear" w:fill="6495ED"/>
    </w:rPr>
  </w:style>
  <w:style w:type="character" w:customStyle="1" w:styleId="28">
    <w:name w:val="advice"/>
    <w:basedOn w:val="11"/>
    <w:qFormat/>
    <w:uiPriority w:val="0"/>
    <w:rPr>
      <w:color w:val="004098"/>
      <w:bdr w:val="single" w:color="004098" w:sz="4" w:space="0"/>
    </w:rPr>
  </w:style>
  <w:style w:type="character" w:customStyle="1" w:styleId="29">
    <w:name w:val="last-child"/>
    <w:basedOn w:val="11"/>
    <w:qFormat/>
    <w:uiPriority w:val="0"/>
  </w:style>
  <w:style w:type="character" w:customStyle="1" w:styleId="30">
    <w:name w:val="on1"/>
    <w:basedOn w:val="11"/>
    <w:qFormat/>
    <w:uiPriority w:val="0"/>
    <w:rPr>
      <w:color w:val="FFFFFF"/>
      <w:shd w:val="clear" w:fill="004098"/>
    </w:rPr>
  </w:style>
  <w:style w:type="character" w:customStyle="1" w:styleId="31">
    <w:name w:val="on2"/>
    <w:basedOn w:val="11"/>
    <w:qFormat/>
    <w:uiPriority w:val="0"/>
    <w:rPr>
      <w:color w:val="004098"/>
      <w:bdr w:val="single" w:color="004098" w:sz="4" w:space="0"/>
    </w:rPr>
  </w:style>
  <w:style w:type="character" w:customStyle="1" w:styleId="32">
    <w:name w:val="active"/>
    <w:basedOn w:val="11"/>
    <w:qFormat/>
    <w:uiPriority w:val="0"/>
    <w:rPr>
      <w:color w:val="FFFFFF"/>
      <w:shd w:val="clear" w:fill="004098"/>
    </w:rPr>
  </w:style>
  <w:style w:type="character" w:customStyle="1" w:styleId="33">
    <w:name w:val="statuspurchase"/>
    <w:basedOn w:val="11"/>
    <w:qFormat/>
    <w:uiPriority w:val="0"/>
    <w:rPr>
      <w:vanish/>
      <w:color w:val="004098"/>
      <w:sz w:val="14"/>
      <w:szCs w:val="14"/>
      <w:bdr w:val="single" w:color="004098" w:sz="4" w:space="0"/>
    </w:rPr>
  </w:style>
  <w:style w:type="character" w:customStyle="1" w:styleId="34">
    <w:name w:val="concat-title"/>
    <w:basedOn w:val="11"/>
    <w:qFormat/>
    <w:uiPriority w:val="0"/>
    <w:rPr>
      <w:color w:val="666666"/>
      <w:sz w:val="16"/>
      <w:szCs w:val="16"/>
    </w:rPr>
  </w:style>
  <w:style w:type="character" w:customStyle="1" w:styleId="35">
    <w:name w:val="nth-child(1)"/>
    <w:basedOn w:val="11"/>
    <w:qFormat/>
    <w:uiPriority w:val="0"/>
  </w:style>
  <w:style w:type="character" w:customStyle="1" w:styleId="36">
    <w:name w:val="nth-child(2)"/>
    <w:basedOn w:val="11"/>
    <w:qFormat/>
    <w:uiPriority w:val="0"/>
  </w:style>
  <w:style w:type="character" w:customStyle="1" w:styleId="37">
    <w:name w:val="nth-child(2)1"/>
    <w:basedOn w:val="11"/>
    <w:qFormat/>
    <w:uiPriority w:val="0"/>
  </w:style>
  <w:style w:type="character" w:customStyle="1" w:styleId="38">
    <w:name w:val="hover"/>
    <w:basedOn w:val="11"/>
    <w:qFormat/>
    <w:uiPriority w:val="0"/>
    <w:rPr>
      <w:color w:val="004098"/>
      <w:bdr w:val="single" w:color="004098" w:sz="4" w:space="0"/>
    </w:rPr>
  </w:style>
  <w:style w:type="character" w:customStyle="1" w:styleId="39">
    <w:name w:val="hover1"/>
    <w:basedOn w:val="11"/>
    <w:qFormat/>
    <w:uiPriority w:val="0"/>
    <w:rPr>
      <w:color w:val="FFFFFF"/>
      <w:shd w:val="clear" w:fill="004098"/>
    </w:rPr>
  </w:style>
  <w:style w:type="character" w:customStyle="1" w:styleId="40">
    <w:name w:val="hover2"/>
    <w:basedOn w:val="11"/>
    <w:qFormat/>
    <w:uiPriority w:val="0"/>
    <w:rPr>
      <w:color w:val="FFFFFF"/>
    </w:rPr>
  </w:style>
  <w:style w:type="character" w:customStyle="1" w:styleId="41">
    <w:name w:val="hover3"/>
    <w:basedOn w:val="11"/>
    <w:qFormat/>
    <w:uiPriority w:val="0"/>
    <w:rPr>
      <w:color w:val="FFFFFF"/>
      <w:shd w:val="clear" w:fill="6495ED"/>
    </w:rPr>
  </w:style>
  <w:style w:type="character" w:customStyle="1" w:styleId="42">
    <w:name w:val="on"/>
    <w:basedOn w:val="11"/>
    <w:qFormat/>
    <w:uiPriority w:val="0"/>
    <w:rPr>
      <w:color w:val="FFFFFF"/>
      <w:shd w:val="clear" w:fill="004098"/>
    </w:rPr>
  </w:style>
  <w:style w:type="paragraph" w:customStyle="1" w:styleId="43">
    <w:name w:val="正文样式my + 首行缩进:  0.74 厘米"/>
    <w:basedOn w:val="44"/>
    <w:qFormat/>
    <w:uiPriority w:val="0"/>
    <w:pPr>
      <w:ind w:firstLine="420"/>
    </w:pPr>
    <w:rPr>
      <w:rFonts w:cs="宋体"/>
      <w:szCs w:val="20"/>
    </w:rPr>
  </w:style>
  <w:style w:type="paragraph" w:customStyle="1" w:styleId="44">
    <w:name w:val="正文样式1"/>
    <w:basedOn w:val="1"/>
    <w:qFormat/>
    <w:uiPriority w:val="0"/>
    <w:pPr>
      <w:spacing w:line="360" w:lineRule="auto"/>
      <w:ind w:firstLine="480"/>
    </w:pPr>
    <w:rPr>
      <w:rFonts w:ascii="宋体" w:hAnsi="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总行工会文档管理员</cp:lastModifiedBy>
  <dcterms:modified xsi:type="dcterms:W3CDTF">2026-06-08T03:41:08Z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94F55052B19B479CB0CEA1C30B6B7BC1</vt:lpwstr>
  </property>
  <property fmtid="{D5CDD505-2E9C-101B-9397-08002B2CF9AE}" pid="4" name="KSOTemplateDocerSaveRecord">
    <vt:lpwstr>eyJoZGlkIjoiYWU2MTdkZDRiMDcyMTJhOGIyMzA3MjY5NTA1ZWYzMjIiLCJ1c2VySWQiOiIxNjgxMzEzMDc0In0=</vt:lpwstr>
  </property>
</Properties>
</file>